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தேவாலயம்</w:t>
      </w:r>
    </w:p>
    <w:p w14:paraId="336B84D0" w14:textId="77777777" w:rsidR="003A2E05" w:rsidRPr="003A2E05" w:rsidRDefault="003A2E05" w:rsidP="003A2E05">
      <w:r>
        <w:t>நோக்கம்: வெளிப்படுத்தின விசேஷத்தில் உள்ள ஏழு சபைகளிடமிருந்து பாடங்களைக் கற்றுக்கொண்டு, கிறிஸ்துவின் சரீரமாகிய சபையின் மீது அசைக்க முடியாத அர்ப்பணிப்பின் மூலம் ஆவிக்குரிய வெற்றிக்கான தேவனுடைய திட்டத்தை, அவருடைய நித்திய ராஜ்யத்தின் வெளிப்பாடாக, ஊக்கப்படுத்திப் போதிப்பதே ஆகும்.</w:t>
      </w:r>
    </w:p>
    <w:p w14:paraId="3ED2E2D9" w14:textId="77777777" w:rsidR="003A2E05" w:rsidRPr="003A2E05" w:rsidRDefault="003A2E05" w:rsidP="008457A0">
      <w:pPr>
        <w:pStyle w:val="Heading1"/>
      </w:pPr>
      <w:r>
        <w:t>அறிமுகம்</w:t>
      </w:r>
    </w:p>
    <w:p w14:paraId="3B557D04" w14:textId="77777777" w:rsidR="003A2E05" w:rsidRPr="003A2E05" w:rsidRDefault="003A2E05" w:rsidP="003A2E05">
      <w:r>
        <w:t>&amp;quot;சபை&amp;quot; அல்லது &amp;quot;அழைக்கப்பட்டவர்கள்&amp;quot; என்று பொருள்படும் கிரேக்க வார்த்தையான எக்லேசியா (ἐκκλησία), திருச்சபையை தேவனுடைய நோக்கங்களுக்காகப் பிரிக்கப்பட்ட, அவரால் தேர்ந்தெடுக்கப்பட்ட சமூகம் என்று வரையறுக்கிறது. வெறும் மனித நிறுவனமாக இல்லாமல், திருச்சபையானது தேவனுடைய ராஜ்யத்திற்கு ஒருங்கிணைந்த ஒரு தெய்வீக அமைப்பாகும்—அது கிறிஸ்துவின் சரீரம். அந்த ராஜ்யம் என்பது தேவனுடைய இறையாண்மையுள்ள ஆட்சியாகும்; அது இயேசு கிறிஸ்துவின் மூலம் தொடங்கப்பட்டது (மாற்கு 1:15), விசுவாசிகளின் வாழ்வில் பிரசன்னமாக இருக்கிறது (லூக்கா 17:20-21), மேலும் அவருடைய வருகையின்போது முழுமையாக நிறைவேறக் காத்திருக்கிறது (வெளிப்படுத்தல் 11:15). உலகளாவிய மற்றும் உள்ளூர் திருச்சபையானது, இந்த ராஜ்யத்தை உள்ளடக்கி, பக்தி, ஒற்றுமை மற்றும் ஊழியம் ஆகியவற்றின் மூலம் தேவனுடைய சித்தத்தைப் பிரதிபலிக்கிறது. வெளிப்படுத்தல் 2-3-ல் உள்ள ஏழு திருச்சபைகளான—எபேசு, சிமிர்னா, பெர்கமோஸ், தியத்தீரா, சர்திஸ், பிலதெல்பியா மற்றும் லவோதிக்கேயா—விசுவாசத்திற்கும் தோல்விக்கும் தெளிவான எடுத்துக்காட்டுகளை வழங்குகின்றன, மேலும் தேவனுடைய நித்திய திட்டத்துடன் தங்களை இணைத்துக் கொள்ளுமாறு விசுவாசிகளை வலியுறுத்துகின்றன.</w:t>
      </w:r>
    </w:p>
    <w:p w14:paraId="59A9E8A7" w14:textId="77777777" w:rsidR="003A2E05" w:rsidRPr="003A2E05" w:rsidRDefault="003A2E05" w:rsidP="008457A0">
      <w:pPr>
        <w:pStyle w:val="Heading1"/>
      </w:pPr>
      <w:r>
        <w:t>1. &amp;#39;திருச்சபை&amp;#39; என்பதன் விவிலியப் பொருள்</w:t>
      </w:r>
    </w:p>
    <w:p w14:paraId="664F4594" w14:textId="77777777" w:rsidR="003A2E05" w:rsidRPr="003A2E05" w:rsidRDefault="003A2E05" w:rsidP="003A2E05">
      <w:pPr>
        <w:rPr>
          <w:b/>
          <w:bCs/>
        </w:rPr>
      </w:pPr>
      <w:r>
        <w:t>அ. வரையறை</w:t>
      </w:r>
    </w:p>
    <w:p w14:paraId="0A2D22B9" w14:textId="77777777" w:rsidR="003A2E05" w:rsidRPr="003A2E05" w:rsidRDefault="003A2E05" w:rsidP="003A2E05">
      <w:r>
        <w:t>எக்லேசியா (ἐκκλησία) என்ற சொல், உலகத்திலிருந்து வேறுபட்டு, கடவுளால் அவருடைய மக்களாக அழைக்கப்பட்டவர்களைக் குறிக்கிறது:</w:t>
      </w:r>
    </w:p>
    <w:p w14:paraId="0099D287" w14:textId="77777777" w:rsidR="003A2E05" w:rsidRPr="003A2E05" w:rsidRDefault="003A2E05" w:rsidP="003A2E05">
      <w:pPr>
        <w:numPr>
          <w:ilvl w:val="0"/>
          <w:numId w:val="7"/>
        </w:numPr>
      </w:pPr>
      <w:r>
        <w:t>சர்வலோக சபை: காலங்காலமாக மீட்கப்பட்ட விசுவாசிகள் அனைவரின் கூட்டு சரீரம்; இவர்கள் தேவனுடைய ராஜ்யத்தில் அவருடன் வாசம்பண்ண நியமிக்கப்பட்டவர்கள் (எபிரேயர் 12:22-24, வெளிப்படுத்தல் 7:9-10). பூமிக்குரிய எல்லைகளைக் கடந்த இந்தச் சபை, கிறிஸ்து மீதான விசுவாசத்தின் மூலம் இரட்சிக்கப்பட்ட அனைவரையும் உள்ளடக்கியது (எபேசியர் 1:22-23).</w:t>
      </w:r>
    </w:p>
    <w:p w14:paraId="282E24D0" w14:textId="77777777" w:rsidR="003A2E05" w:rsidRPr="003A2E05" w:rsidRDefault="003A2E05" w:rsidP="003A2E05">
      <w:pPr>
        <w:numPr>
          <w:ilvl w:val="0"/>
          <w:numId w:val="7"/>
        </w:numPr>
      </w:pPr>
      <w:r>
        <w:t>உள்ளூர் சபை: ஒரு குறிப்பிட்ட புவியியல் பகுதியில் உள்ள, ஞானஸ்நானம் பெற்ற விசுவாசிகளின் குறிப்பிட்ட கூட்டங்கள்; இவை அப்போஸ்தலர்களுடைய போதனை, ஐக்கியம், அப்பம் பிட்குதல் மற்றும் ஜெபம் ஆகியவற்றில் தங்களை அர்ப்பணித்துக் கொள்கின்றன (அப் 2:41-47). இவை சர்வலோக சபையின் காணக்கூடிய வெளிப்பாடுகளாகும், மேலும் இவை இறைராஜ்யத்தின் கோட்பாடுகளை வாழ்ந்து காட்டுகின்றன.</w:t>
      </w:r>
    </w:p>
    <w:p w14:paraId="0D471A01" w14:textId="77777777" w:rsidR="003A2E05" w:rsidRPr="003A2E05" w:rsidRDefault="003A2E05" w:rsidP="008457A0">
      <w:pPr>
        <w:pStyle w:val="Heading1"/>
      </w:pPr>
      <w:r>
        <w:t>பி. வேதாகம உள்நோக்குகள்</w:t>
      </w:r>
    </w:p>
    <w:p w14:paraId="7BBD608E" w14:textId="77777777" w:rsidR="003A2E05" w:rsidRPr="003A2E05" w:rsidRDefault="003A2E05" w:rsidP="003A2E05">
      <w:pPr>
        <w:numPr>
          <w:ilvl w:val="0"/>
          <w:numId w:val="8"/>
        </w:numPr>
      </w:pPr>
      <w:r>
        <w:t>சர்வலோகத் திருச்சபை: இயேசு, “நான் என் சபையைக் கட்டுவேன், பாதாளத்தின் வாசல்கள் அதற்கு எதிராகப் பலன் அளிக்காது” என்று அறிவித்தார் (மத்தேயு 16:18). கிரேக்க வார்த்தையான katischyō (κατισχύω, &amp;quot;வெற்றிபெறுதல்&amp;quot;) என்பது கிறிஸ்துவின் உயிர்த்தெழுதல் மூலமான திருச்சபையின் நித்திய வெற்றியை அடிக்கோடிட்டுக் காட்டுகிறது. அதன் அங்கத்தினர்களின் பெயர்கள் பரலோகத்தில், தேவனுடைய அசைக்க முடியாத ராஜ்யத்தின் ஒரு பகுதியாகப் பதிவு செய்யப்படுகின்றன (எபிரேயர் 12:22-24).</w:t>
      </w:r>
    </w:p>
    <w:p w14:paraId="2B2E1505" w14:textId="77777777" w:rsidR="003A2E05" w:rsidRPr="003A2E05" w:rsidRDefault="003A2E05" w:rsidP="003A2E05">
      <w:pPr>
        <w:numPr>
          <w:ilvl w:val="0"/>
          <w:numId w:val="8"/>
        </w:numPr>
      </w:pPr>
      <w:r>
        <w:t>உள்ளூர் சபை: உள்ளூர் சபைகள் கூட்டு ஆராதனையையும் திருச்சடங்குகளையும் கடைபிடிக்கின்றன (அப் 2:42). &amp;#39;க்ளாஸிஸ் டூ ஆர்டூ&amp;#39; (klasis tou artou - κλάσις τοῦ ἄρτου, &amp;quot;அப்பம் பிட்குதல்&amp;quot;) என்ற சொற்றொடரானது விருந்தோம்பலையும் கர்த்தருடைய இராப்போஜனத்தையும் உள்ளடக்கியது (1 கொரிந்தியர் 11:23-26). நற்செய்தி பரவியபோது, உள்ளூர் சபைகள் பெருகின (உதாரணமாக, 1 கொரிந்தியர் 16:19), ஒவ்வொன்றும் தேவராஜ்யத்தின் விழுமியங்களைப் பிரதிபலித்தன.</w:t>
      </w:r>
    </w:p>
    <w:p w14:paraId="21E93291" w14:textId="77777777" w:rsidR="003A2E05" w:rsidRPr="003A2E05" w:rsidRDefault="003A2E05" w:rsidP="008457A0">
      <w:pPr>
        <w:pStyle w:val="Heading1"/>
      </w:pPr>
      <w:r>
        <w:t>சி. திருச்சபையும் இறைராஜ்யமும்</w:t>
      </w:r>
    </w:p>
    <w:p w14:paraId="0A459EAD" w14:textId="77777777" w:rsidR="003A2E05" w:rsidRPr="003A2E05" w:rsidRDefault="003A2E05" w:rsidP="003A2E05">
      <w:r>
        <w:t>திருச்சபை என்பது தேவனுடைய ராஜ்யத்தின் தற்போதைய வெளிப்பாடாகும், அங்கு விசுவாசிகள் மூலமாக அவருடைய ஆட்சி செயல்படுத்தப்படுகிறது (கொலோசெயர் 1:13-14). அது கிறிஸ்துவின் வருகைக்காகக் காத்திருக்கும் ராஜ்யத்தின் பரிபூரணம் அல்ல (வெளிப்படுத்தல் 21:1-4), மாறாக தேவனுடைய ஆட்சி அனுபவிக்கப்படும் ஒரு சமூகமாகும். வெளிப்படுத்தலில் உள்ள ஏழு திருச்சபைகள் இதை விளக்குகின்றன: விசுவாசத்திற்காக (pistos, πιστός) புகழப்பட்ட சிமிர்னாவும் பிலதெல்பியாவும் ராஜ்ய பக்தியை வெளிப்படுத்துகின்றன, அதேசமயம் லவோதிக்கேயாவின் வெதுவெதுப்பான தன்மை (chliaros, χλιαρός) நிராகரிக்கப்படும் அபாயத்தைக் கொண்டுள்ளது (வெளிப்படுத்தல் 3:16).</w:t>
      </w:r>
    </w:p>
    <w:p w14:paraId="2BE4F697" w14:textId="77777777" w:rsidR="003A2E05" w:rsidRPr="003A2E05" w:rsidRDefault="003A2E05" w:rsidP="003A2E05">
      <w:pPr>
        <w:rPr>
          <w:b/>
          <w:bCs/>
        </w:rPr>
      </w:pPr>
      <w:r>
        <w:t>2. திருச்சபையைப் பற்றிய சக்திவாய்ந்த விளக்கங்கள்</w:t>
      </w:r>
    </w:p>
    <w:p w14:paraId="09D4CAFC" w14:textId="77777777" w:rsidR="003A2E05" w:rsidRPr="003A2E05" w:rsidRDefault="003A2E05" w:rsidP="003A2E05">
      <w:r>
        <w:t>தேவனுடைய ராஜ்யத்தில் திருச்சபையின் பங்கைச் சித்தரிக்க, வேதாகமம் தெளிவான உருவகங்களைப் பயன்படுத்துகிறது (எபேசியர் 2:19-22):</w:t>
      </w:r>
    </w:p>
    <w:p w14:paraId="437BEE01" w14:textId="77777777" w:rsidR="003A2E05" w:rsidRPr="003A2E05" w:rsidRDefault="003A2E05" w:rsidP="003A2E05">
      <w:pPr>
        <w:numPr>
          <w:ilvl w:val="0"/>
          <w:numId w:val="9"/>
        </w:numPr>
      </w:pPr>
      <w:r>
        <w:t>தேவனுடைய குடும்பம்: விசுவாசிகள் பிதாவாகிய தேவனுக்குக் கீழ் ஐக்கியப்பட்ட ஒரு குடும்பம் (1 தீமோத்தேயு 3:15). இது, பிலதெல்பியாவின் மாறாத அன்பில் காணப்படுவது போல (வெளிப்படுத்தல் 3:9), ராஜ்யத்தின் உறவுரீதியான ஐக்கியத்தைப் பிரதிபலிக்கிறது.</w:t>
      </w:r>
    </w:p>
    <w:p w14:paraId="046668A5" w14:textId="77777777" w:rsidR="003A2E05" w:rsidRPr="003A2E05" w:rsidRDefault="003A2E05" w:rsidP="003A2E05">
      <w:pPr>
        <w:numPr>
          <w:ilvl w:val="0"/>
          <w:numId w:val="9"/>
        </w:numPr>
      </w:pPr>
      <w:r>
        <w:t>ஒரு கட்டிடம்: அப்போஸ்தலர்கள் மற்றும் தீர்க்கதரிசிகள் மீது கட்டப்பட்ட, கிறிஸ்து மூலைக்கல்லாக விளங்கும் ஒரு கட்டிடம் (எபேசியர் 2:20). எபேசுவின் கோட்பாட்டு வலிமை இந்த அடித்தளத்துடன் ஒத்துப்போகிறது, ஆனாலும் அவர்கள் முதல் அன்பை இழந்தது அதன் நிலைத்தன்மையை அச்சுறுத்துகிறது (வெளிப்படுத்தல் 2:4).</w:t>
      </w:r>
    </w:p>
    <w:p w14:paraId="67C931F8" w14:textId="77777777" w:rsidR="003A2E05" w:rsidRPr="003A2E05" w:rsidRDefault="003A2E05" w:rsidP="003A2E05">
      <w:pPr>
        <w:numPr>
          <w:ilvl w:val="0"/>
          <w:numId w:val="9"/>
        </w:numPr>
      </w:pPr>
      <w:r>
        <w:t>ஒரு பரிசுத்த ஆலயம்: தேவனுடைய ஆவியானவர் சபையில் (naos, ναός, temple) வாசம்பண்ணுகிறார் (1 கொரிந்தியர் 3:16-17). சிமிர்னாவின் சகிப்புத்தன்மை இந்தப் பரிசுத்த ஸ்தலத்தைப் பிரதிபலிக்கிறது, அதேசமயம் சர்தீஸின் ஆவிக்குரிய மரணம் (nekros, νεκρός) அதைத் தீட்டுப்படுத்துகிறது (வெளிப்படுத்தல் 3:1).</w:t>
      </w:r>
    </w:p>
    <w:p w14:paraId="2C8EE17E" w14:textId="77777777" w:rsidR="003A2E05" w:rsidRPr="003A2E05" w:rsidRDefault="003A2E05" w:rsidP="003A2E05">
      <w:pPr>
        <w:numPr>
          <w:ilvl w:val="0"/>
          <w:numId w:val="9"/>
        </w:numPr>
      </w:pPr>
      <w:r>
        <w:t>கிறிஸ்துவின் சரீரம்: தலையாகிய கிறிஸ்து, திருச்சபையை வழிநடத்துகிறார் (கொலோசெயர் 1:18). தியத்தீராவின் ஊழியத்தில் உள்ள பன்முகத்தன்மை இதைப் பிரதிபலிக்கிறது, ஆயினும், பொய்ப் போதனைகளை அவர்கள் சகித்துக்கொள்வது (didachē, διδαχή) ஒற்றுமையைச் சீர்குலைக்கிறது (வெளிப்படுத்தல் 2:20).</w:t>
      </w:r>
    </w:p>
    <w:p w14:paraId="006D75EB" w14:textId="77777777" w:rsidR="003A2E05" w:rsidRPr="003A2E05" w:rsidRDefault="003A2E05" w:rsidP="008457A0">
      <w:pPr>
        <w:pStyle w:val="Heading1"/>
      </w:pPr>
      <w:r>
        <w:t>3. திருச்சபையில் ஒற்றுமை</w:t>
      </w:r>
    </w:p>
    <w:p w14:paraId="0251755E" w14:textId="77777777" w:rsidR="003A2E05" w:rsidRPr="003A2E05" w:rsidRDefault="003A2E05" w:rsidP="003A2E05">
      <w:pPr>
        <w:rPr>
          <w:b/>
          <w:bCs/>
        </w:rPr>
      </w:pPr>
      <w:r>
        <w:t>அ. உலகளாவிய திருச்சபை</w:t>
      </w:r>
    </w:p>
    <w:p w14:paraId="0A104516" w14:textId="77777777" w:rsidR="003A2E05" w:rsidRPr="003A2E05" w:rsidRDefault="003A2E05" w:rsidP="003A2E05">
      <w:r>
        <w:t>விசுவாசிகள் அனைவரும் ஒரே ஆவியினால் ஒரே சரீரத்திற்குள் ஞானஸ்நானம் பெறுகிறார்கள் (1 கொரிந்தியர் 12:12-13), இது இராஜ்யத்தின் ஒருமைப்பாட்டை (henotēs, ἑνότης) (எபேசியர் 4:4-6) பிரதிபலிக்கிறது. வெளிப்படுத்தல் 7:9-ல் உள்ள பன்முகத்தன்மை வாய்ந்த, ஆனாலும் ஒன்றுபட்ட சபை இந்த தரிசனத்தை நிறைவேற்றுகிறது.</w:t>
      </w:r>
    </w:p>
    <w:p w14:paraId="2D3702DE" w14:textId="77777777" w:rsidR="003A2E05" w:rsidRPr="003A2E05" w:rsidRDefault="003A2E05" w:rsidP="003A2E05">
      <w:pPr>
        <w:rPr>
          <w:b/>
          <w:bCs/>
        </w:rPr>
      </w:pPr>
      <w:r>
        <w:t>பி. உள்ளூர் தேவாலயம்</w:t>
      </w:r>
    </w:p>
    <w:p w14:paraId="3275CDBF" w14:textId="77777777" w:rsidR="003A2E05" w:rsidRPr="003A2E05" w:rsidRDefault="003A2E05" w:rsidP="003A2E05">
      <w:pPr>
        <w:numPr>
          <w:ilvl w:val="0"/>
          <w:numId w:val="10"/>
        </w:numPr>
      </w:pPr>
      <w:r>
        <w:t>ஒற்றுமைக்கு வேதத்துடன் ஒத்திசைவது (phroneō, φρονέω, &amp;quot;ஒரே மனம்&amp;quot;) அவசியமாகும் (1 கொரிந்தியர் 1:10). பிலேயாமின் போதனையை பெர்கமோஸ் சகித்துக்கொண்டது (krateō didachē, κρατέω διδαχή) பிளவை ஏற்படுத்தியது, இது வேதாகமத்திற்கு உண்மையாய் இருப்பதன் அவசியத்தைக் காட்டுகிறது (வெளிப்படுத்தல் 2:14).</w:t>
      </w:r>
    </w:p>
    <w:p w14:paraId="6C62E39D" w14:textId="77777777" w:rsidR="003A2E05" w:rsidRPr="003A2E05" w:rsidRDefault="003A2E05" w:rsidP="003A2E05">
      <w:pPr>
        <w:numPr>
          <w:ilvl w:val="0"/>
          <w:numId w:val="10"/>
        </w:numPr>
      </w:pPr>
      <w:r>
        <w:t>கொரிந்துவில் காணப்படுவது போல (1 கொரிந்தியர் 1:12-13), பிரிவினைகள் (schisma, σχίσμα) சபையைப் பிளவுபடுத்துகின்றன. கிறிஸ்துவின் ஆளுகையின் கீழ் இராஜ்யத்தின் நல்லிணக்கத்தை, திருச்சபையின் ஒற்றுமை பிரதிபலிக்கிறது.</w:t>
      </w:r>
    </w:p>
    <w:p w14:paraId="28C2E5F6" w14:textId="77777777" w:rsidR="003A2E05" w:rsidRPr="003A2E05" w:rsidRDefault="003A2E05" w:rsidP="008457A0">
      <w:pPr>
        <w:pStyle w:val="Heading1"/>
      </w:pPr>
      <w:r>
        <w:t>4. ஏழு திருச்சபைகளின் மதிப்பீடு</w:t>
      </w:r>
    </w:p>
    <w:p w14:paraId="57FCE5CF" w14:textId="0BBAF85C" w:rsidR="003A2E05" w:rsidRPr="003A2E05" w:rsidRDefault="003A2E05" w:rsidP="003A2E05">
      <w:r>
        <w:t>வெளிப்படுத்தல் 2-3-ல் உள்ள ஏழு சபைகளுக்கு எழுதப்பட்ட கடிதங்கள், அவற்றின் ஆவிக்குரிய நிலையைப் பற்றிய ஒரு ஆழ்ந்த மதிப்பீட்டை அளித்து, இன்றைய சபைக்குப் பாடங்களை வழங்குகின்றன. கீழே, தேவனுடைய ராஜ்யத்திற்கு ஒவ்வொரு சபையின் விசுவாசத்தைப் பற்றிய ஒரு மதிப்பீடு கொடுக்கப்பட்டுள்ளது; இதில், கிரேக்க மூல உரையின் அடிப்படையில், இயேசுவின் திருப்தியையும், தற்போதைய நிலையில் இரட்சிக்கப்பட வாய்ப்புள்ள உறுப்பினர்களின் மதிப்பிடப்பட்ட சதவீதத்தையும் பிரதிபலிக்கும் மதிப்பிடப்பட்ட மதிப்பெண்கள் உள்ளன:</w:t>
      </w:r>
    </w:p>
    <w:p w14:paraId="1C090F11" w14:textId="77777777" w:rsidR="003A2E05" w:rsidRPr="003A2E05" w:rsidRDefault="003A2E05" w:rsidP="003A2E05">
      <w:pPr>
        <w:numPr>
          <w:ilvl w:val="0"/>
          <w:numId w:val="11"/>
        </w:numPr>
      </w:pPr>
      <w:r>
        <w:t xml:space="preserve">எபேசு (வெளிப்படுத்துதல் 2:1-7) </w:t>
      </w:r>
    </w:p>
    <w:p w14:paraId="2293C2FD" w14:textId="29DB18C1" w:rsidR="003A2E05" w:rsidRDefault="003A2E05" w:rsidP="003A2E05">
      <w:pPr>
        <w:numPr>
          <w:ilvl w:val="1"/>
          <w:numId w:val="11"/>
        </w:numPr>
      </w:pPr>
      <w:r>
        <w:t>மதிப்பீடு: கள்ள அப்போஸ்தலர்களை நிராகரித்ததற்காகவும், நிக்கோலாயிட்டரின் செயல்களை வெறுத்ததற்காகவும் பாராட்டப்பட்டனர்; ஆனால், வெறும் கோட்பாட்டு மரபாகக் குளிர்ந்துபோன, கிறிஸ்து மீதான தீவிரமான, தேனிலவு போன்ற பக்தியான தங்கள் அகப்பே ப்ரோட்டே (ἀγάπη πρώτη, “முதல் அன்பு”)-ஐக் கைவிட்டதற்காகக் கண்டிக்கப்பட்டனர். கட்டளைச் சொல்லான மெட்டானோசோன் (μετανόησον, “மனந்திரும்புங்கள்”) அவசரத்தைக் குறிக்கிறது, இல்லையெனில் விளக்குத்தண்டு அகற்றப்படும் (வெளிப்படுத்தல் 2:5).</w:t>
      </w:r>
    </w:p>
    <w:p w14:paraId="664E2735" w14:textId="77777777" w:rsidR="002A43EB" w:rsidRPr="002A43EB" w:rsidRDefault="008275EB" w:rsidP="00BD430F">
      <w:pPr>
        <w:numPr>
          <w:ilvl w:val="1"/>
          <w:numId w:val="11"/>
        </w:numPr>
      </w:pPr>
      <w:r>
        <w:t>புதிரான கூறுகள் மற்றும் விளக்கங்கள்:</w:t>
      </w:r>
    </w:p>
    <w:p w14:paraId="37D58E47" w14:textId="70A06FC0" w:rsidR="00BD430F" w:rsidRPr="00BD430F" w:rsidRDefault="0052404B" w:rsidP="0052404B">
      <w:pPr>
        <w:numPr>
          <w:ilvl w:val="2"/>
          <w:numId w:val="11"/>
        </w:numPr>
      </w:pPr>
      <w:r>
        <w:t>நிக்கோலாயித்தர்கள்: நிக்கோலாயித்தர்கள் இங்கும் பெர்கமுவிலும் (வெளிப்படுத்துதல் 2:6, 15) தோன்றுகிறார்கள். இதற்கான சாத்தியமான விளக்கங்கள் பின்வருமாறு:</w:t>
      </w:r>
    </w:p>
    <w:p w14:paraId="16C01BBA" w14:textId="77777777" w:rsidR="00BD430F" w:rsidRPr="00BD430F" w:rsidRDefault="00BD430F" w:rsidP="0052404B">
      <w:pPr>
        <w:numPr>
          <w:ilvl w:val="3"/>
          <w:numId w:val="11"/>
        </w:numPr>
      </w:pPr>
      <w:r>
        <w:t>படிநிலை ஆதிக்கம் (மிகவும் பொதுவான பார்வை): கிரேக்க வார்த்தைகளான nikao (“வெற்றி கொள்வது/வெல்வது”) + laos (“மக்கள்/சாதாரண மக்கள்”) ஆகியவற்றிலிருந்து உருவான இவர்கள், அதிகார வெறி கொண்ட தலைவர்களாக, மதகுருமார்களுக்கும் சாதாரண மக்களுக்கும் இடையே ஒரு பிளவை ஏற்படுத்த முயன்றனர். இதன் மூலம், சாதாரண விசுவாசிகளுக்குச் சமமாகச் சேவை செய்வதற்குப் பதிலாக, அவர்கள் மீது ஆதிக்கம் செலுத்தினர் (இது மத்தேயு 20:25-26 மற்றும் 1 பேதுரு 5:3 ஆகிய வசனங்களுக்கு முரணானது).</w:t>
      </w:r>
    </w:p>
    <w:p w14:paraId="49B9F142" w14:textId="77777777" w:rsidR="00D90E03" w:rsidRDefault="00BD430F" w:rsidP="0052404B">
      <w:pPr>
        <w:numPr>
          <w:ilvl w:val="3"/>
          <w:numId w:val="11"/>
        </w:numPr>
      </w:pPr>
      <w:r>
        <w:t>ஒழுக்க சமரசம் / சட்ட மறுப்புக் கொள்கை: ஆரம்பகாலத் திருச்சபை மரபு, அப்போஸ்தலர் 6:5-ல் தேர்ந்தெடுக்கப்பட்ட ஏழு உதவிக்காரர்களில் ஒருவரான நிக்கோலாவுடன் அவர்களை இணைக்கிறது (அவர் “விசுவாசமும் பரிசுத்த ஆவியும் நிறைந்தவர்”). சில திருச்சபைத் தந்தையர்கள் (உதாரணமாக, ஐரேனியு) நிக்கோலா அல்லது அவரைப் பின்பற்றியவர்கள், கிருபை சரீரத்தை மூடும்போது ஆவி தூய்மையாக இருப்பதால், கிறிஸ்தவர்கள் விக்கிரக ஆராதனையிலும் பாலியல் ஒழுக்கக்கேட்டிலும் சுதந்திரமாக ஈடுபடலாம் என்று போதிக்கும் நிலைக்குச் சீரழிந்து, சுதந்திரத்தை வரம்பற்ற உரிமையாக மாற்றினார்கள் என்று கூறினர். ஒழுக்க எல்லைகளை இவ்வாறு “வெற்றி கொள்வது” புறஜாதி சமரசத்திற்கு வழி திறந்தது. இயேசு அவர்களுடைய செயல்களை வெறுக்கிறார் (வெறுப்பது மட்டுமல்ல), அவை அருவருப்பானவை என்று காண்கிறார், ஏனெனில் அவை சரீரத்தில் சமத்துவத்தை (கிறிஸ்துவுக்கு முன்பாக சமமான நிலையை) அழித்து, முழு திருச்சபையையும் புளிக்கவைக்கும் பாவங்களையே அழைக்கின்றன (1 கொரிந்தியர் 5:6).</w:t>
      </w:r>
    </w:p>
    <w:p w14:paraId="6424304D" w14:textId="77777777" w:rsidR="005E7EAC" w:rsidRDefault="00D90E03" w:rsidP="00D90E03">
      <w:pPr>
        <w:numPr>
          <w:ilvl w:val="2"/>
          <w:numId w:val="11"/>
        </w:numPr>
      </w:pPr>
      <w:r>
        <w:t>விளக்குத்தண்டு: இயேசு விளக்குத்தண்டுகளுக்கு மத்தியில் உலாவுகிறார் (2:1). “விளக்குத்தண்டு” (lychnia, λυχνία) என்பது திருச்சபையையே குறிக்கிறது (வெளிப்படுத்தல் 1:20). அதை அகற்றுவது என்பது, இயேசு அந்த குறிப்பிட்ட உள்ளூர் சபையைத் தமது ராஜ்யத்தில் ஒரு முறையான, ஒளி தாங்கும் திருச்சபையாக இனி அங்கீகரிக்கவில்லை அல்லது ஏற்றுக்கொள்ளவில்லை என்பதாகும். திருச்சபை வெளிப்படையாகத் தொடரலாம், ஆனால் கிறிஸ்துவின் புறக்காவல் நிலையமாக அதன் கூட்டு அந்தஸ்தும் சாட்சியும் ரத்து செய்யப்படுகின்றன—அதன் ஒளி அணைக்கப்படுகிறது அல்லது வேறு இடத்திற்கு மாற்றப்படுகிறது. இது ஆசரிப்புக் கூடாரத்தின் விளக்குத்தண்டையும் (யாத்திராகமம் 25:31-40) பத்து கன்னிகைகளின் ஆயத்தத்தையும் (மத்தேயு 25:1-13) எதிரொலிக்கிறது. “முதல் அன்பை” இழப்பது, எபிரேயர் 2:1-ல் எச்சரிக்கப்பட்ட அதே திசைமாறிய நிலைக்கு வழிவகுக்கும்.</w:t>
      </w:r>
    </w:p>
    <w:p w14:paraId="43A89A1D" w14:textId="1A4F029E" w:rsidR="008275EB" w:rsidRPr="003A2E05" w:rsidRDefault="00BD430F" w:rsidP="00D90E03">
      <w:pPr>
        <w:numPr>
          <w:ilvl w:val="2"/>
          <w:numId w:val="11"/>
        </w:numPr>
      </w:pPr>
      <w:r>
        <w:t>வெற்றி பெறுபவர்களுக்கான வெகுமதிகள்: “ஜீவ விருட்சத்தை” அணுகுதல் (ஆதியாகமம் 3-ஆம் அதிகாரத்தின் எதிரொலி).</w:t>
      </w:r>
    </w:p>
    <w:p w14:paraId="19AC2626" w14:textId="10339086" w:rsidR="003A2E05" w:rsidRPr="003A2E05" w:rsidRDefault="00B822C8" w:rsidP="003A2E05">
      <w:pPr>
        <w:numPr>
          <w:ilvl w:val="1"/>
          <w:numId w:val="11"/>
        </w:numPr>
      </w:pPr>
      <w:r>
        <w:t xml:space="preserve">மதிப்பிடப்பட்ட மதிப்பெண்: 45/100 – வலுவான கோட்பாடு ஆனால் அர்ப்பணிப்பு இல்லை. </w:t>
      </w:r>
    </w:p>
    <w:p w14:paraId="7C404928" w14:textId="3106BF3F" w:rsidR="003A2E05" w:rsidRPr="003A2E05" w:rsidRDefault="00B822C8" w:rsidP="003A2E05">
      <w:pPr>
        <w:numPr>
          <w:ilvl w:val="1"/>
          <w:numId w:val="11"/>
        </w:numPr>
      </w:pPr>
      <w:r>
        <w:t>காப்பாற்றப்பட்டவர்களின் உத்தேச சதவீதம்: 40% – மனந்திரும்பாவிட்டால் பலர் தங்கள் நிலையை இழக்கும் அபாயத்தில் உள்ளனர்.</w:t>
      </w:r>
    </w:p>
    <w:p w14:paraId="49437D11" w14:textId="77777777" w:rsidR="003A2E05" w:rsidRPr="003A2E05" w:rsidRDefault="003A2E05" w:rsidP="003A2E05">
      <w:pPr>
        <w:numPr>
          <w:ilvl w:val="0"/>
          <w:numId w:val="11"/>
        </w:numPr>
      </w:pPr>
      <w:r>
        <w:t xml:space="preserve">சிமிர்னா (வெளிப்படுத்துதல் 2:8-11) </w:t>
      </w:r>
    </w:p>
    <w:p w14:paraId="3D21C0A1" w14:textId="44CD07D1" w:rsidR="003A2E05" w:rsidRDefault="003A2E05" w:rsidP="003A2E05">
      <w:pPr>
        <w:numPr>
          <w:ilvl w:val="1"/>
          <w:numId w:val="11"/>
        </w:numPr>
      </w:pPr>
      <w:r>
        <w:t>மதிப்பீடு: துன்புறுத்தலைத் தாங்கியதற்காக (திலிப்சிஸ், θλῖψις), கண்டிக்கப்படாமல் பாராட்டப்பட்டது. பிஸ்டோஸ் அச்ரி தனடோவ் (πιστός ἄχρι θανάτου, மரணம் வரை உண்மையுள்ளவர்) (வெளிப்படுத்துதல் 2:10) என்று அறிவுறுத்தப்பட்டது.</w:t>
      </w:r>
    </w:p>
    <w:p w14:paraId="26BFD7BA" w14:textId="5CB03E04" w:rsidR="00BF14A8" w:rsidRPr="003A2E05" w:rsidRDefault="00BF14A8" w:rsidP="003A2E05">
      <w:pPr>
        <w:numPr>
          <w:ilvl w:val="1"/>
          <w:numId w:val="11"/>
        </w:numPr>
      </w:pPr>
      <w:r>
        <w:t>மறைபொருள் கூறுகள்: “சாத்தானின் ஜெபக்கூடம்” என்பது, விசுவாசிகளைப் பழித்துரைக்கும் கள்ளர்களை அடையாளம் காட்டுகிறது (ரோமர் 2:28-29). வெகுமதி: “ஜீவ கிரீடம்” (யாக்கோபு 1:12).</w:t>
      </w:r>
    </w:p>
    <w:p w14:paraId="52E7B6F4" w14:textId="0D12ECBC" w:rsidR="003A2E05" w:rsidRPr="003A2E05" w:rsidRDefault="00B822C8" w:rsidP="003A2E05">
      <w:pPr>
        <w:numPr>
          <w:ilvl w:val="1"/>
          <w:numId w:val="11"/>
        </w:numPr>
      </w:pPr>
      <w:r>
        <w:t xml:space="preserve">மதிப்பிடப்பட்ட மதிப்பெண்: 95/100 – ஏறக்குறைய பிழையற்ற நம்பகத்தன்மை. </w:t>
      </w:r>
    </w:p>
    <w:p w14:paraId="1E62A002" w14:textId="37033E7E" w:rsidR="003A2E05" w:rsidRPr="003A2E05" w:rsidRDefault="00B822C8" w:rsidP="003A2E05">
      <w:pPr>
        <w:numPr>
          <w:ilvl w:val="1"/>
          <w:numId w:val="11"/>
        </w:numPr>
      </w:pPr>
      <w:r>
        <w:t>சேமிக்கப்பட்ட தொகையின் மதிப்பிடப்பட்ட சதவீதம்: 95% – பெரும்பாலானோர் சரியான நிலையில் உள்ளனர்.</w:t>
      </w:r>
    </w:p>
    <w:p w14:paraId="48A13FBF" w14:textId="77777777" w:rsidR="003A2E05" w:rsidRPr="003A2E05" w:rsidRDefault="003A2E05" w:rsidP="003A2E05">
      <w:pPr>
        <w:numPr>
          <w:ilvl w:val="0"/>
          <w:numId w:val="11"/>
        </w:numPr>
      </w:pPr>
      <w:r>
        <w:t xml:space="preserve">பெர்கமோஸ் (வெளிப்படுத்துதல் 2:12-17) </w:t>
      </w:r>
    </w:p>
    <w:p w14:paraId="6D17661D" w14:textId="77777777" w:rsidR="003A2E05" w:rsidRDefault="003A2E05" w:rsidP="003A2E05">
      <w:pPr>
        <w:numPr>
          <w:ilvl w:val="1"/>
          <w:numId w:val="11"/>
        </w:numPr>
      </w:pPr>
      <w:r>
        <w:t xml:space="preserve">மதிப்பீடு: பகைமையான சூழலில் விசுவாசமுள்ளவராக இருந்தபோதிலும், krateō didachē (κρατέω διδαχή, பொய்ப் போதனையைக் கொண்டிருத்தல்) (வெளிப்படுத்தல் 2:14) என்ற கொள்கைக்காக விமர்சிக்கப்பட்டார். </w:t>
      </w:r>
    </w:p>
    <w:p w14:paraId="3E4A7D43" w14:textId="77777777" w:rsidR="00300C29" w:rsidRDefault="00A92241" w:rsidP="00A92241">
      <w:pPr>
        <w:numPr>
          <w:ilvl w:val="1"/>
          <w:numId w:val="11"/>
        </w:numPr>
      </w:pPr>
      <w:r>
        <w:t>புதிரான கூறுகள் மற்றும் பாவங்கள்:</w:t>
      </w:r>
    </w:p>
    <w:p w14:paraId="0FFD6FCD" w14:textId="77777777" w:rsidR="00300C29" w:rsidRDefault="00A92241" w:rsidP="00300C29">
      <w:pPr>
        <w:numPr>
          <w:ilvl w:val="2"/>
          <w:numId w:val="11"/>
        </w:numPr>
      </w:pPr>
      <w:r>
        <w:t>“சாத்தானின் சிம்மாசனம்” என்பது புறஜாதி/ஆட்சியின் கோட்டைகளைச் சுட்டிக்காட்டுகிறது (எபேசியர் 6:12).</w:t>
      </w:r>
    </w:p>
    <w:p w14:paraId="08CE32D9" w14:textId="77777777" w:rsidR="00300C29" w:rsidRDefault="00A92241" w:rsidP="00300C29">
      <w:pPr>
        <w:numPr>
          <w:ilvl w:val="2"/>
          <w:numId w:val="11"/>
        </w:numPr>
      </w:pPr>
      <w:r>
        <w:t>“பிலேயாமின் போதனை” (எண்ணாகமம் 22–25, 31) என்பது, பாகால் பெஓரில் (எண்ணாகமம் 25:1-9) இஸ்ரவேலரை விக்கிரக ஆராதனைக்கும் பாலியல் ஒழுக்கக்கேட்டிற்கும் வஞ்சிப்பதாகும்—அதாவது, விக்கிரகங்களுக்குப் பலியிடப்பட்ட உணவை உண்பது மற்றும் போர்னியா (முறையற்ற பாலுறவு, வழிபாட்டு விபச்சாரம் உட்பட) செய்வது. இது, மனந்திரும்பாத நிலையில், ராஜ்யத்தின் சுதந்தரத்தைத் தடுத்து (1 கொரிந்தியர் 6:9-10; வெளிப்படுத்தல் 21:8, “பாலியல் ஒழுக்கக்கேட்டில் ஈடுபடும்… விக்கிரக ஆராதனைக்காரர்களை” அக்கினி ஏரிக்காகப் பட்டியலிடுகிறது) புளிப்புப் போலப் பரவி, சமூகம் முழுவதும் விசுவாச துரோகத்திற்கு வழிவகுக்கும் மாம்சத்தின் கிரியைகளுடன் (கலாத்தியர் 5:19-21: போர்னியா, ஈடோலோலாட்ரேயா) துல்லியமாகப் பொருந்துகிறது (1 கொரிந்தியர் 6:9-10; வெளிப்படுத்தல் 21:8, “பாலியல் ஒழுக்கக்கேட்டில் ஈடுபடும்… விக்கிரக ஆராதனைக்காரர்களை” பட்டியலிடுகிறது) (1 கொரிந்தியர் 5:6-13: “தீயவனைச் சுத்திகரித்துக்கொள்”).</w:t>
      </w:r>
    </w:p>
    <w:p w14:paraId="261C9303" w14:textId="2AC8E177" w:rsidR="005E7EAC" w:rsidRDefault="00A92241" w:rsidP="00300C29">
      <w:pPr>
        <w:numPr>
          <w:ilvl w:val="2"/>
          <w:numId w:val="11"/>
        </w:numPr>
      </w:pPr>
      <w:r>
        <w:t>ஆதிக்கத்தையும் ஒழுக்க நெறி மீறலையும் கலக்கும் நிக்கோலாயிட் போதனை இங்கே இணைக்கப்பட்டுள்ளது. எபேசுவையும் பார்க்கவும்.</w:t>
      </w:r>
    </w:p>
    <w:p w14:paraId="54FF4A07" w14:textId="32168C99" w:rsidR="00A92241" w:rsidRPr="003A2E05" w:rsidRDefault="00A92241" w:rsidP="00300C29">
      <w:pPr>
        <w:numPr>
          <w:ilvl w:val="2"/>
          <w:numId w:val="11"/>
        </w:numPr>
      </w:pPr>
      <w:r>
        <w:t>ஜெயங்கொள்பவர்களுக்கான வெகுமதிகள்: “மறைவான மன்னா” மற்றும் “வெள்ளைக் கல்” (ஏசாயா 62:2).</w:t>
      </w:r>
    </w:p>
    <w:p w14:paraId="35B55DAC" w14:textId="58C1FD49" w:rsidR="003A2E05" w:rsidRPr="003A2E05" w:rsidRDefault="00B822C8" w:rsidP="003A2E05">
      <w:pPr>
        <w:numPr>
          <w:ilvl w:val="1"/>
          <w:numId w:val="11"/>
        </w:numPr>
      </w:pPr>
      <w:r>
        <w:t xml:space="preserve">மதிப்பிடப்பட்ட மதிப்பெண்: 35/100 – மதத்துரோகத்தால் களங்கப்படுத்தப்பட்டது. </w:t>
      </w:r>
    </w:p>
    <w:p w14:paraId="09D76222" w14:textId="003E1E10" w:rsidR="003A2E05" w:rsidRPr="003A2E05" w:rsidRDefault="00B822C8" w:rsidP="003A2E05">
      <w:pPr>
        <w:numPr>
          <w:ilvl w:val="1"/>
          <w:numId w:val="11"/>
        </w:numPr>
      </w:pPr>
      <w:r>
        <w:t>சேமிக்கப்பட்ட தொகையின் உத்தேச சதவீதம்: 30% – பலர் வழிதவறிச் செல்கின்றனர்.</w:t>
      </w:r>
    </w:p>
    <w:p w14:paraId="26DC733E" w14:textId="77777777" w:rsidR="003A2E05" w:rsidRPr="003A2E05" w:rsidRDefault="003A2E05" w:rsidP="003A2E05">
      <w:pPr>
        <w:numPr>
          <w:ilvl w:val="0"/>
          <w:numId w:val="11"/>
        </w:numPr>
      </w:pPr>
      <w:r>
        <w:t xml:space="preserve">தியத்தீரா (வெளிப்படுத்துதல் 2:18-29) </w:t>
      </w:r>
    </w:p>
    <w:p w14:paraId="723DD089" w14:textId="125F2F13" w:rsidR="003A2E05" w:rsidRDefault="003A2E05" w:rsidP="003A2E05">
      <w:pPr>
        <w:numPr>
          <w:ilvl w:val="1"/>
          <w:numId w:val="11"/>
        </w:numPr>
      </w:pPr>
      <w:r>
        <w:t>மதிப்பீடு: அன்புக்கும் சேவைக்கும் பெயர் பெற்றவர்கள், ஆனால் ஒழுக்கக்கேட்டிற்கு வழிவகுத்த யேசபேலை (Ἰεζάβελ) அனுமதித்ததற்காகக் கண்டிக்கப்பட்டவர்கள். உண்மையுள்ள ஒரு மீதியான கூட்டம் (λοιποί) மீதமிருக்கிறது (வெளிப்படுத்தல் 2:24).</w:t>
      </w:r>
    </w:p>
    <w:p w14:paraId="204A1543" w14:textId="77777777" w:rsidR="00D36323" w:rsidRDefault="004928CE" w:rsidP="003A2E05">
      <w:pPr>
        <w:numPr>
          <w:ilvl w:val="1"/>
          <w:numId w:val="11"/>
        </w:numPr>
      </w:pPr>
      <w:r>
        <w:t>புதிரான கூறுகள் மற்றும் பாவங்கள்:</w:t>
      </w:r>
    </w:p>
    <w:p w14:paraId="40555674" w14:textId="77777777" w:rsidR="00D36323" w:rsidRDefault="004928CE" w:rsidP="00D36323">
      <w:pPr>
        <w:numPr>
          <w:ilvl w:val="2"/>
          <w:numId w:val="11"/>
        </w:numPr>
      </w:pPr>
      <w:r>
        <w:t>&amp;quot;யேசபேல்&amp;quot; என்பது, பாகால் வழிபாடு, விக்கிரக வழிபாடு, மற்றும் புனித விபச்சாரம் (1 இராஜாக்கள் 16:31-32; 2 இராஜாக்கள் 9) ஆகியவற்றைத் தூண்டிய பழைய ஏற்பாட்டு அரசியை நினைவூட்டுகிறது—அதாவது ஆவிக்குரிய விபச்சாரம் மற்றும் விபச்சாரம். தியத்தீராவின் தொழில் குழு கலாச்சாரத்தில், இது வியாபாரத்திற்காக (விக்கிரக உணவு + ஒழுக்கக்கேடு) புறஜாதி விருந்துகளில் கலந்துகொள்வதைக் குறித்தது. இதுவே, மாம்சத்தின் கிரியைகள் (கலாத்தியர் 5:19-21) என்றும், ராஜ்யத்திலிருந்து விலக்கும் பாவங்கள் (1 கொரிந்தியர் 6:9-10; வெளிப்படுத்தல் 21:8) என்றும் எச்சரிக்கப்பட்ட அதே விபச்சாரம் மற்றும் விக்கிரக வழிபாடு ஆகும்.</w:t>
      </w:r>
    </w:p>
    <w:p w14:paraId="7B3FC537" w14:textId="77777777" w:rsidR="00A76967" w:rsidRDefault="004928CE" w:rsidP="00D36323">
      <w:pPr>
        <w:numPr>
          <w:ilvl w:val="2"/>
          <w:numId w:val="11"/>
        </w:numPr>
      </w:pPr>
      <w:r>
        <w:t>“சாத்தானின் ஆழமான காரியங்கள்” என்பது, முரண்பாடாக, தேவனுடைய உண்மையான ஆழத்திற்கு முரணாக உள்ளது (1 கொரிந்தியர் 2:10). மனந்திரும்பாத இத்தகைய பாவங்கள், வஞ்சகத்தின் ஆவியின் மூலம் விசுவாச துரோகத்தை வளர்க்கின்றன (யூதா 1:4; 1 தீமோத்தேயு 4:1).</w:t>
      </w:r>
    </w:p>
    <w:p w14:paraId="05B832B8" w14:textId="38A3B411" w:rsidR="004928CE" w:rsidRPr="003A2E05" w:rsidRDefault="004928CE" w:rsidP="00D36323">
      <w:pPr>
        <w:numPr>
          <w:ilvl w:val="2"/>
          <w:numId w:val="11"/>
        </w:numPr>
      </w:pPr>
      <w:r>
        <w:t>வெகுமதிகள்: தேசங்களின் மீதான அதிகாரம் (சங்கீதம் 2) மற்றும் “விடிவெள்ளி.”</w:t>
      </w:r>
    </w:p>
    <w:p w14:paraId="48760EC1" w14:textId="24F08C50" w:rsidR="003A2E05" w:rsidRPr="003A2E05" w:rsidRDefault="00B822C8" w:rsidP="003A2E05">
      <w:pPr>
        <w:numPr>
          <w:ilvl w:val="1"/>
          <w:numId w:val="11"/>
        </w:numPr>
      </w:pPr>
      <w:r>
        <w:t xml:space="preserve">மதிப்பிடப்பட்ட மதிப்பெண்: 30/100 – கடுமையான ஒழுக்கச் சீர்கேடு. </w:t>
      </w:r>
    </w:p>
    <w:p w14:paraId="7420ED08" w14:textId="195B6C68" w:rsidR="003A2E05" w:rsidRPr="003A2E05" w:rsidRDefault="00B822C8" w:rsidP="003A2E05">
      <w:pPr>
        <w:numPr>
          <w:ilvl w:val="1"/>
          <w:numId w:val="11"/>
        </w:numPr>
      </w:pPr>
      <w:r>
        <w:t>சேமிக்கப்பட்ட தொகையின் உத்தேச சதவீதம்: 25% – சிறுபான்மையினர் மட்டுமே விசுவாசமாக இருக்கின்றனர்.</w:t>
      </w:r>
    </w:p>
    <w:p w14:paraId="2E3253D4" w14:textId="77777777" w:rsidR="003A2E05" w:rsidRPr="003A2E05" w:rsidRDefault="003A2E05" w:rsidP="003A2E05">
      <w:pPr>
        <w:numPr>
          <w:ilvl w:val="0"/>
          <w:numId w:val="11"/>
        </w:numPr>
      </w:pPr>
      <w:r>
        <w:t xml:space="preserve">சர்தீஸ் (வெளிப்படுத்துதல் 3:1-6) </w:t>
      </w:r>
    </w:p>
    <w:p w14:paraId="5BC6B2AC" w14:textId="1EE97676" w:rsidR="003A2E05" w:rsidRDefault="003A2E05" w:rsidP="003A2E05">
      <w:pPr>
        <w:numPr>
          <w:ilvl w:val="1"/>
          <w:numId w:val="11"/>
        </w:numPr>
      </w:pPr>
      <w:r>
        <w:t>மதிப்பீடு: நெக்ரோஸ் (νεκρός, இறந்தவர்), ஒலிகா ஓனோமாட்டா (ὀλίγα ὀνόματα, சில பெயர்கள்) உண்மையுள்ளவர்கள் (வெளிப்படுத்துதல் 3:1, 4).</w:t>
      </w:r>
    </w:p>
    <w:p w14:paraId="7A143BAD" w14:textId="77777777" w:rsidR="00D031C8" w:rsidRDefault="00D031C8" w:rsidP="00D031C8">
      <w:pPr>
        <w:numPr>
          <w:ilvl w:val="1"/>
          <w:numId w:val="11"/>
        </w:numPr>
      </w:pPr>
      <w:r>
        <w:t>புதிரான கூறுகள் மற்றும் விரிவான விளக்கம்:</w:t>
      </w:r>
    </w:p>
    <w:p w14:paraId="220785D2" w14:textId="77777777" w:rsidR="007E4C5B" w:rsidRDefault="00D031C8" w:rsidP="00D031C8">
      <w:pPr>
        <w:numPr>
          <w:ilvl w:val="2"/>
          <w:numId w:val="11"/>
        </w:numPr>
      </w:pPr>
      <w:r>
        <w:t>சர்திஸ் ஒரு பழங்கால, ஒரு காலத்தில் மகத்தான நகரமாக இருந்தது. அது ஒரு புகழ்பெற்ற வரலாற்றைக் கொண்டிருந்தது—குரோசஸின் கீழ் லிதியப் பேரரசின் தலைநகராக (செல்வத்திற்காகப் புகழ்பெற்றது) விளங்கியது, ஆனால் ரோமானியர் காலத்திற்குள் அது கணிசமாக வீழ்ச்சியடைந்தது. அதீத தன்னம்பிக்கையின் காரணமாக அதன் வரலாற்றில் அது இரண்டு முறை வீழ்ந்தது: ஒருமுறை பாரசீகரான சைரஸிடம் (கி.மு. 547) பாதுகாவலர்கள் உறங்கிக்கொண்டிருந்தபோது நகரம் திடீரெனத் தாக்கப்பட்டது, பின்னர் மீண்டும் வீழ்ந்தது. அந்த நகரம், அசைக்க முடியாததாகத் தோன்றும் சுவர்களுடன் ஒரு செங்குத்தான மலையின் மீது கட்டப்பட்டது, ஆனாலும் அது அலட்சியத்தின் காரணமாக எளிதில் தாக்கப்படக்கூடியதாக இருந்தது—மக்கள் விழிப்புணர்வை விட, நற்பெயரையும் கடந்தகாலப் பெருமையையும் நம்பியிருந்தனர். இயேசு இந்த வரலாற்றைத் திருச்சபைக்கு எதிராகப் பயன்படுத்துகிறார்: “நீங்கள் உயிரோடு இருப்பதாகப் பெயர் பெற்றிருக்கிறீர்கள், ஆனால் நீங்கள் மரித்திருக்கிறீர்கள்” (வசனம் 1).</w:t>
      </w:r>
    </w:p>
    <w:p w14:paraId="7952256E" w14:textId="54357648" w:rsidR="007E4C5B" w:rsidRDefault="00D031C8" w:rsidP="00D031C8">
      <w:pPr>
        <w:numPr>
          <w:ilvl w:val="2"/>
          <w:numId w:val="11"/>
        </w:numPr>
      </w:pPr>
      <w:r>
        <w:t>நகரத்தைப் போலவே, சர்தீஸ் சபையும் ஆவிக்குரிய ரீதியில் உயிரற்றதாக இருந்தபோதிலும், ஒருவேளை அதன் ஆரம்பகால வைராக்கியம் அல்லது குறிப்பிடத்தக்க அங்கத்தினர்கள் போன்ற அதன் முந்தைய புகழைச் சார்ந்திருந்தது. அவர்களுடைய “செயல்கள்” தேவனுக்கு முன்பாக “முழுமையற்றவையாக” (வச. 2) இருந்தன; அதாவது, முடிக்கப்படாத, அரைகுறை மனதுடன் செய்யப்பட்ட, அல்லது பாசாங்குத்தனமான—உள்ளான யதார்த்தம் இல்லாத புறம்பான செயல்பாடு. “கறை படிந்த ஆடைகள்” (வச. 4) சமரசம் அல்லது புறக்கணிப்பின் மூலம் ஏற்படும் தீட்டைக் குறிக்கின்றன—உலகத்தால் கறை படிந்தவை, அரசருக்குத் தகுதியற்றவை (விசுவாசமுள்ள மீதியானவர்களுக்குக் கொடுக்கப்பட்ட தூய்மை மற்றும் உயிர்த்தெழுதலின் மகிமையைக் குறிக்கும் “வெள்ளை ஆடைகளுடன்” இதை ஒப்பிட்டுப் பார்க்கவும்). சிறந்த கம்பளி சாயமிடுதலுக்காக நகரத்திற்கு இருந்த புகழ் (வெள்ளை ஆடைகள் மதிப்புமிக்கவையாக இருந்தன) இந்த முரண்பாட்டை மேலும் கூர்மையாக்குகிறது: அவர்களிடம் பொருள் ரீதியாக “வெள்ளை” இருந்தது, ஆனால் ஆவிக்குரிய ரீதியில் கறை படிந்திருந்தது. இந்த எச்சரிக்கை, பழைய ஏற்பாட்டில் உள்ள விழிப்புணர்வுக்கான அழைப்புகளை எதிரொலிக்கிறது: “விழித்தெழு!” (வசனம் 3) தூக்கக் கலக்கத்தினால் சர்தீஸ் அடைந்த வரலாற்று வீழ்ச்சிகளை நினைவுகூர்கிறது, மேலும் இயேசு, தாம் ஒரு திருடனைப் போல வருவேன் என்று கூறுகிறார் (ஒப்பிடுக: 1 தெசலோனிக்கேயர் 5:2-4; மத்தேயு 24:43) — இது ஆயத்தமில்லாதவர்கள் மீது வரும் எதிர்பாராத நியாயத்தீர்ப்பாகும்.</w:t>
      </w:r>
    </w:p>
    <w:p w14:paraId="265EC9AD" w14:textId="5CEFDF30" w:rsidR="00710341" w:rsidRDefault="00D031C8" w:rsidP="00D031C8">
      <w:pPr>
        <w:numPr>
          <w:ilvl w:val="2"/>
          <w:numId w:val="11"/>
        </w:numPr>
      </w:pPr>
      <w:r>
        <w:t>ஆயினும், உண்மையுள்ள மீதியான ஒரு கூட்டம் இருக்கிறது: அதாவது, ஜீவபுஸ்தகத்திலிருந்து அழிக்கப்படாத “சில பெயர்கள்” (வச. 4) (வச. 5; ஒப்பிடுக: யாத்திராகமம் 32:32-33; சங்கீதம் 69:28; பிலிப்பியர் 4:3) — இது களங்கமற்று நிலைத்திருப்பவர்களுக்கு நித்திய பாதுகாப்புக்கான உறுதியாகும். ஜெயங்கொள்பவர்கள் வெள்ளுடைகளை (சுத்தம், வெற்றி) அணிந்து நடக்கிறார்கள், மேலும் அவர்களுடைய பெயர்கள் பிதாவுக்கும் தூதர்களுக்கும் முன்பாக அறிக்கையிடப்படுகின்றன (வச. 5; ஒப்பிடுக: மத்தேயு 10:32).</w:t>
      </w:r>
    </w:p>
    <w:p w14:paraId="462366BC" w14:textId="0A7ADC36" w:rsidR="00D031C8" w:rsidRPr="00D031C8" w:rsidRDefault="00D031C8" w:rsidP="00D031C8">
      <w:pPr>
        <w:numPr>
          <w:ilvl w:val="2"/>
          <w:numId w:val="11"/>
        </w:numPr>
      </w:pPr>
      <w:r>
        <w:t>லவோதிக்கேயாவுக்குப் பிறகு சர்தீஸ் மிகவும் கடுமையான எச்சரிக்கையாகும்—அங்கு பெரும்பாலானோர் மரித்திருந்தனர், ஒரு சிறு பகுதியினர் மட்டுமே உயிரோடு இருந்தனர். இருதயம் குளிர்ந்து, கிரியைகள் முழுமையடையாமல் இருக்கும்போது, கடந்தகால சாதனைகள், புகழ் அல்லது வெளித்தோற்றத்தில் திருப்தியடைந்துவிடக் கூடாது என்று அது எச்சரிக்கிறது. உண்மையான வாழ்விற்கு விழிப்புணர்வும், தேவன் ஆரம்பித்ததை நிறைவுசெய்தலும் (பிலிப்பியர் 1:6), களங்கமற்ற விசுவாசமும் தேவை.</w:t>
      </w:r>
    </w:p>
    <w:p w14:paraId="70C15556" w14:textId="0CFF2CD0" w:rsidR="003A2E05" w:rsidRPr="003A2E05" w:rsidRDefault="00B822C8" w:rsidP="003A2E05">
      <w:pPr>
        <w:numPr>
          <w:ilvl w:val="1"/>
          <w:numId w:val="11"/>
        </w:numPr>
      </w:pPr>
      <w:r>
        <w:t xml:space="preserve">மதிப்பிடப்பட்ட மதிப்பெண்: 10/100 – பெரும்பாலும் உயிரற்றது. </w:t>
      </w:r>
    </w:p>
    <w:p w14:paraId="43F3B0D0" w14:textId="26715BB7" w:rsidR="003A2E05" w:rsidRPr="003A2E05" w:rsidRDefault="00B822C8" w:rsidP="003A2E05">
      <w:pPr>
        <w:numPr>
          <w:ilvl w:val="1"/>
          <w:numId w:val="11"/>
        </w:numPr>
      </w:pPr>
      <w:r>
        <w:t>மதிப்பிடப்பட்ட சேமிப்பு சதவீதம்: 5% – மிகச் சிறிய அளவு சேமிக்கப்பட்டுள்ளது.</w:t>
      </w:r>
    </w:p>
    <w:p w14:paraId="76D2FD0B" w14:textId="77777777" w:rsidR="003A2E05" w:rsidRPr="003A2E05" w:rsidRDefault="003A2E05" w:rsidP="003A2E05">
      <w:pPr>
        <w:numPr>
          <w:ilvl w:val="0"/>
          <w:numId w:val="11"/>
        </w:numPr>
      </w:pPr>
      <w:r>
        <w:t xml:space="preserve">பிலதெல்பியா (வெளிப்படுத்துதல் 3:7-13) </w:t>
      </w:r>
    </w:p>
    <w:p w14:paraId="174274E7" w14:textId="54E64E48" w:rsidR="003A2E05" w:rsidRDefault="003A2E05" w:rsidP="003A2E05">
      <w:pPr>
        <w:numPr>
          <w:ilvl w:val="1"/>
          <w:numId w:val="11"/>
        </w:numPr>
      </w:pPr>
      <w:r>
        <w:t>மதிப்பீடு: ஒலிக் டைனமிஸ் (ὀλίγη δύναμις, சிறிய வலிமை) (வெளிப்படுத்துதல் 3:8) இருந்தபோதிலும் கிறிஸ்துவின் வார்த்தையை (tēreō லோகோக்கள், τηρέω λόγος) கடைப்பிடித்ததற்காகப் பாராட்டப்பட்டது.</w:t>
      </w:r>
    </w:p>
    <w:p w14:paraId="6C299A07" w14:textId="77777777" w:rsidR="003B772F" w:rsidRPr="009158A6" w:rsidRDefault="003B772F" w:rsidP="003B772F">
      <w:pPr>
        <w:numPr>
          <w:ilvl w:val="1"/>
          <w:numId w:val="11"/>
        </w:numPr>
        <w:rPr>
          <w:b/>
          <w:bCs/>
        </w:rPr>
      </w:pPr>
      <w:r>
        <w:t>புதிரான கூறுகள் மற்றும் விளக்கம்:</w:t>
      </w:r>
    </w:p>
    <w:p w14:paraId="25CF38AF" w14:textId="77777777" w:rsidR="009158A6" w:rsidRDefault="003B772F" w:rsidP="003B772F">
      <w:pPr>
        <w:numPr>
          <w:ilvl w:val="2"/>
          <w:numId w:val="11"/>
        </w:numPr>
      </w:pPr>
      <w:r>
        <w:t>பிலடெல்பியா ஒரு சிறிய, பூகம்பம் ஏற்படக்கூடிய நகரமாக இருந்தது (அடிக்கடி ஏற்படும் நில அதிர்வுகள் கட்டிடங்களை அழித்தன, எனவே ஸ்திரத்தன்மை மதிக்கப்பட்டது). வரையறுக்கப்பட்ட மனித சக்தியுடன் அவருடைய வார்த்தையை உறுதியாகப் பற்றிக்கொண்டதற்காக இயேசு அவர்களைப் பாராட்டுகிறார்—உலக வல்லமையை விட தெய்வீக பலத்தையே சார்ந்திருப்பதை அவர் வலியுறுத்துகிறார் (சகரியா 4:6: “பராக்கிரமத்தினாலல்ல, பலத்தினாலல்ல, என் ஆவியினாலேயே ஆகும்”). “சாத்தானின் ஜெபக்கூடம்” என்பது விசுவாசிகளைத் துன்புறுத்தும் கள்ளர்களை அடையாளம் காட்டுகிறது (ரோமர் 2:28-29).</w:t>
      </w:r>
    </w:p>
    <w:p w14:paraId="368B3444" w14:textId="77777777" w:rsidR="009158A6" w:rsidRDefault="003B772F" w:rsidP="003B772F">
      <w:pPr>
        <w:numPr>
          <w:ilvl w:val="2"/>
          <w:numId w:val="11"/>
        </w:numPr>
      </w:pPr>
      <w:r>
        <w:t>கிறிஸ்து “தாவீதின் திறவுகோலை” (ஏசாயா 22:22) கொண்டிருக்கிறார்—அதாவது, வாய்ப்பு, பணி மற்றும் அணுகல் ஆகியவற்றின் கதவுகளைத் திறக்கவும் மூடவும் கூடிய, யாராலும் மாற்றியமைக்க முடியாத இறையாண்மை அதிகாரம் அவரிடம் உள்ளது.</w:t>
      </w:r>
    </w:p>
    <w:p w14:paraId="45599CF8" w14:textId="3768477C" w:rsidR="003B772F" w:rsidRPr="003B772F" w:rsidRDefault="003B772F" w:rsidP="003B772F">
      <w:pPr>
        <w:numPr>
          <w:ilvl w:val="2"/>
          <w:numId w:val="11"/>
        </w:numPr>
      </w:pPr>
      <w:r>
        <w:t>ஜெயங்கொள்பவர்களுக்கான வாக்குறுதி—&amp;quot;நான் அவனை என் தேவனுடைய ஆலயத்தில் ஒரு தூணாக நிறுத்துவேன், அவன் இனி ஒருபோதும் அதைவிட்டு வெளியே போகமாட்டான்&amp;quot; (வச. 12)—ஒரு சக்திவாய்ந்த உருவகமாகும்: தூண்கள் நிலைத்தன்மையையும் ஸ்திரத்தன்மையையும் குறிக்கின்றன (நகரத்தின் பூகம்பங்களுடன் ஒப்பிட்டுப் பாருங்கள்). தேவனுடைய நித்திய ஆலயத்தில் (வெளிப்படுத்தல் 21:22), விசுவாசிகள் அவருடைய பிரசன்னத்தின் நிலையான, அசைக்க முடியாத அங்கங்களாக மாறுகிறார்கள். அவர்கள் மீது எழுதப்பட்ட மூன்று பெயர்களைப் பெறுகிறார்கள்: தேவனுடைய பெயர், புதிய எருசலேமின் பெயர் (பரலோகத்திலிருந்து இறங்கி வரும் நகரம், வெளிப்படுத்தல் 21:2), மற்றும் கிறிஸ்துவின் புதிய பெயர்—இராஜ்யத்தில் முழுமையான உரிமை, குடியுரிமை மற்றும் நெருங்கிய அடையாளம் (ஏசாயா 62:2; வெளிப்படுத்தல் 2:17).</w:t>
      </w:r>
    </w:p>
    <w:p w14:paraId="6B8B7697" w14:textId="2E603179" w:rsidR="003A2E05" w:rsidRPr="003A2E05" w:rsidRDefault="00B822C8" w:rsidP="003A2E05">
      <w:pPr>
        <w:numPr>
          <w:ilvl w:val="1"/>
          <w:numId w:val="11"/>
        </w:numPr>
      </w:pPr>
      <w:r>
        <w:t xml:space="preserve">மதிப்பிடப்பட்ட மதிப்பெண்: 90/100 – மிகுந்த நம்பிக்கைக்குரியது. </w:t>
      </w:r>
    </w:p>
    <w:p w14:paraId="6051734B" w14:textId="336B6935" w:rsidR="003A2E05" w:rsidRPr="003A2E05" w:rsidRDefault="00B822C8" w:rsidP="003A2E05">
      <w:pPr>
        <w:numPr>
          <w:ilvl w:val="1"/>
          <w:numId w:val="11"/>
        </w:numPr>
      </w:pPr>
      <w:r>
        <w:t>மதிப்பிடப்பட்ட சேமிப்பு சதவீதம்: 90% – பெரும்பாலானோர் சேமித்துள்ளனர்.</w:t>
      </w:r>
    </w:p>
    <w:p w14:paraId="2FC0E894" w14:textId="77777777" w:rsidR="003A2E05" w:rsidRPr="003A2E05" w:rsidRDefault="003A2E05" w:rsidP="003A2E05">
      <w:pPr>
        <w:numPr>
          <w:ilvl w:val="0"/>
          <w:numId w:val="11"/>
        </w:numPr>
      </w:pPr>
      <w:r>
        <w:t xml:space="preserve">லவோதிக்கேயா (வெளிப்படுத்துதல் 3:14-22) </w:t>
      </w:r>
    </w:p>
    <w:p w14:paraId="16A73190" w14:textId="161BEA5B" w:rsidR="003A2E05" w:rsidRDefault="003A2E05" w:rsidP="003A2E05">
      <w:pPr>
        <w:numPr>
          <w:ilvl w:val="1"/>
          <w:numId w:val="11"/>
        </w:numPr>
      </w:pPr>
      <w:r>
        <w:t>மதிப்பீடு: கிலியாரோஸ் (χλιαρός, வெதுவெதுப்பானது), நிராகரிப்பை எதிர்கொள்கிறது (எமேசாய், ἐμέσαι, துப்புதல்) (வெளிப்படுத்துதல் 3:16).</w:t>
      </w:r>
    </w:p>
    <w:p w14:paraId="6C0545FE" w14:textId="77777777" w:rsidR="007C23DE" w:rsidRPr="0058131E" w:rsidRDefault="007C23DE" w:rsidP="007C23DE">
      <w:pPr>
        <w:numPr>
          <w:ilvl w:val="1"/>
          <w:numId w:val="11"/>
        </w:numPr>
        <w:rPr>
          <w:b/>
          <w:bCs/>
        </w:rPr>
      </w:pPr>
      <w:r>
        <w:t>புதிரான கூறுகள் மற்றும் விரிவான விளக்கம்:</w:t>
      </w:r>
    </w:p>
    <w:p w14:paraId="78A888A8" w14:textId="77777777" w:rsidR="00A301C7" w:rsidRDefault="007C23DE" w:rsidP="0058131E">
      <w:pPr>
        <w:numPr>
          <w:ilvl w:val="2"/>
          <w:numId w:val="11"/>
        </w:numPr>
      </w:pPr>
      <w:r>
        <w:t>லவோதிக்கேயா செல்வம் மிக்கதாகவும் (வங்கி மையம், கருப்பு கம்பளி துணிகள், புகழ்பெற்ற கண் மருந்து) மற்றும் தன்னிறைவு பெற்றதாகவும் (கி.பி. 60 பூகம்பத்திற்குப் பிறகு ரோமானிய உதவியின்றி மீண்டும் கட்டப்பட்டது) இருந்தது. திருச்சபை இதைப் பிரதிபலித்தது: “நீங்கள், ‘நான் ஐசுவரியவான், ஐசுவரியவான், எனக்கு ஒன்றும் தேவையில்லை’ என்று சொல்கிறீர்கள்” (வசனம் 17). இயேசு இதிலுள்ள முரண்பாட்டை வெளிப்படுத்துகிறார்: அவர்கள் “பரிதாபத்திற்குரியவர்கள், இரங்கத்தக்கவர்கள், ஏழைகள், குருடர்கள், நிர்வாணிகள்.”</w:t>
      </w:r>
    </w:p>
    <w:p w14:paraId="0AB04725" w14:textId="77777777" w:rsidR="00D07168" w:rsidRDefault="007C23DE" w:rsidP="0058131E">
      <w:pPr>
        <w:numPr>
          <w:ilvl w:val="2"/>
          <w:numId w:val="11"/>
        </w:numPr>
      </w:pPr>
      <w:r>
        <w:t>&amp;quot;வெதுவெதுப்பான&amp;quot; நீர் நகரத்தின் நீரிலிருந்து எடுக்கப்பட்டது: வெந்நீர் ஊற்றுகளிலிருந்து நீர்க்குழாய் வழியாகக் கொண்டுவரப்பட்ட அந்த நீர், வெதுவெதுப்பாகவும் குமட்டலை உண்டாக்குவதாகவும் இருந்தது—அது ஹைராபோலிஸைப் போல குணமளிக்கும்/சிகிச்சையளிக்கும் அளவுக்குச் சூடாகவும் இல்லை, கொலோசேவைப் போலப் புத்துணர்ச்சியூட்டும் அளவுக்குக் குளிராகவும் இல்லை. வெதுவெதுப்பான நீர் பயனற்றதாகவும் வாந்தியைத் தூண்டுவதாகவும் இருந்தது. திருச்சபையின் செயல்களும் அவ்வாறே இருந்தன—அவை ஆன்மீக ரீதியாகப் புத்துணர்ச்சியூட்டுபவையாகவோ அல்லது தூய்மைப்படுத்துபவையாகவோ/குணப்படுத்துபவையாகவோ இருக்கவில்லை; தன்னிறைவு, பயனற்ற, மனநிறைவான நம்பிக்கையை உருவாக்கியது.</w:t>
      </w:r>
    </w:p>
    <w:p w14:paraId="2647A1BD" w14:textId="556E7CA2" w:rsidR="007C23DE" w:rsidRPr="007C23DE" w:rsidRDefault="007C23DE" w:rsidP="0058131E">
      <w:pPr>
        <w:numPr>
          <w:ilvl w:val="2"/>
          <w:numId w:val="11"/>
        </w:numPr>
      </w:pPr>
      <w:r>
        <w:t>இயேசுவின் அறிவுரை, அவர்களுடைய பெருமைக்குரிய அம்சங்களை முரண்பாடாகப் பயன்படுத்துகிறது: “நெருப்பினால் புடமிடப்பட்ட பொன்னை என்னிடமிருந்து வாங்கிக்கொள்ளுங்கள்” (தூய்மையான விசுவாசத்தின் மூலம் கிடைக்கும் உண்மையான செல்வம், 1 பேதுரு 1:7), “வெள்ளை அங்கிகளை” (கிறிஸ்துவின் நீதியானது வெட்கத்தை மூடுகிறது, வெளிப்படுத்தல் 19:8), “கண் மருந்து” (தங்கள் உண்மையான நிலையைக் காணும் ஆவிக்குரிய பார்வை). அவர் தாம் நேசிப்பவர்களைச் சீர்படுத்தி (வச. 19), அவர்களை வைராக்கியமான மனந்திரும்புதலுக்கு (zēloe) அழைக்கிறார். “இதோ, நான் வாசலில் நின்று தட்டுகிறேன்” (வச. 20) என்ற அழைப்பு, கதவைத் திறப்பவர்களுக்குத் தனிப்பட்ட ஐக்கியத்தை (பகிர்ந்துகொள்ளும் உணவு = நெருக்கம்) வழங்குகிறது. ஜெயங்கொள்பவர்கள் கிறிஸ்துவுடன் அவருடைய சிம்மாசனத்தில் அமர்கிறார்கள் (வச. 21).</w:t>
      </w:r>
    </w:p>
    <w:p w14:paraId="272512D8" w14:textId="0A26DC99" w:rsidR="003A2E05" w:rsidRPr="003A2E05" w:rsidRDefault="00B822C8" w:rsidP="003A2E05">
      <w:pPr>
        <w:numPr>
          <w:ilvl w:val="1"/>
          <w:numId w:val="11"/>
        </w:numPr>
      </w:pPr>
      <w:r>
        <w:t xml:space="preserve">மதிப்பிடப்பட்ட மதிப்பெண்: 5/100 – கிட்டத்தட்ட மீட்க முடியாதது. </w:t>
      </w:r>
    </w:p>
    <w:p w14:paraId="54509E6B" w14:textId="0B80900C" w:rsidR="003A2E05" w:rsidRPr="003A2E05" w:rsidRDefault="00B822C8" w:rsidP="003A2E05">
      <w:pPr>
        <w:numPr>
          <w:ilvl w:val="1"/>
          <w:numId w:val="11"/>
        </w:numPr>
      </w:pPr>
      <w:r>
        <w:t>சேமிக்கப்பட்ட உத்தேச சதவீதம்: 5% – மிகச் சிலரே சரியான நிலையில் உள்ளனர்.</w:t>
      </w:r>
    </w:p>
    <w:p w14:paraId="33DA4052" w14:textId="77777777" w:rsidR="003A2E05" w:rsidRPr="003A2E05" w:rsidRDefault="003A2E05" w:rsidP="003A2E05">
      <w:r>
        <w:t>ஒட்டுமொத்த மதிப்பீடு: இந்தத் திருச்சபைகள் முழுவதிலும் உள்ள உறுப்பினர்களில் ஏறத்தாழ 40% பேர் இரட்சிக்கப்பட்டிருக்க வாய்ப்புள்ளது. இது, கிரேக்க மூல உரையில் உள்ள துதி மற்றும் கண்டனத்தின் சமநிலையைப் பிரதிபலிக்கிறது (எ.கா., மனந்திரும்புதலுக்கு metanoēson, ஆவிக்குரிய மரணத்திற்கு nekros).</w:t>
      </w:r>
    </w:p>
    <w:p w14:paraId="56E24E46" w14:textId="77777777" w:rsidR="003A2E05" w:rsidRPr="003A2E05" w:rsidRDefault="003A2E05" w:rsidP="007D2E46">
      <w:pPr>
        <w:pStyle w:val="Heading1"/>
      </w:pPr>
      <w:r>
        <w:t>5. உள்ளூர் திருச்சபையில் தலைமைத்துவமும் அதிகாரமும்</w:t>
      </w:r>
    </w:p>
    <w:p w14:paraId="42E1AE05" w14:textId="77777777" w:rsidR="003A2E05" w:rsidRPr="003A2E05" w:rsidRDefault="003A2E05" w:rsidP="003A2E05">
      <w:r>
        <w:t>கடவுளின் ராஜ்ஜியம் நியமிக்கப்பட்ட தலைமையின் மூலம் செயல்படுகிறது:</w:t>
      </w:r>
    </w:p>
    <w:p w14:paraId="66DDC071" w14:textId="77777777" w:rsidR="003A2E05" w:rsidRPr="003A2E05" w:rsidRDefault="003A2E05" w:rsidP="003A2E05">
      <w:pPr>
        <w:numPr>
          <w:ilvl w:val="0"/>
          <w:numId w:val="12"/>
        </w:numPr>
      </w:pPr>
      <w:r>
        <w:t>தலைவர்களுக்கான மரியாதை: மூப்பர்கள் (presbyteroi, πρεσβύτεροι) மேய்ப்பர்களுக்காக மதிக்கப்படுகிறார்கள் (1 தீமோத்தேயு 5:17). சோதனையின் கீழ் சிமிர்னா காட்டிய சகிப்புத்தன்மை, தேவபக்தியுள்ள தலைமைக்குக் கீழ்ப்படிதலைப் பிரதிபலிக்கிறது.</w:t>
      </w:r>
    </w:p>
    <w:p w14:paraId="642CABF4" w14:textId="77777777" w:rsidR="003A2E05" w:rsidRPr="003A2E05" w:rsidRDefault="003A2E05" w:rsidP="003A2E05">
      <w:pPr>
        <w:numPr>
          <w:ilvl w:val="0"/>
          <w:numId w:val="12"/>
        </w:numPr>
      </w:pPr>
      <w:r>
        <w:t>அவர்களுடைய விசுவாசத்தைப் பின்பற்றுங்கள்: பிலதெல்பியாவின் கீழ்ப்படிதலில் காணப்படுவது போல, தலைவர்கள் விசுவாசத்திற்கு (pistis, πίστις) (எபிரேயர் 13:7) முன்மாதிரியாகத் திகழ்கிறார்கள்.</w:t>
      </w:r>
    </w:p>
    <w:p w14:paraId="20CDA7FA" w14:textId="77777777" w:rsidR="003A2E05" w:rsidRPr="003A2E05" w:rsidRDefault="003A2E05" w:rsidP="003A2E05">
      <w:pPr>
        <w:numPr>
          <w:ilvl w:val="0"/>
          <w:numId w:val="12"/>
        </w:numPr>
      </w:pPr>
      <w:r>
        <w:t>அதிகாரத்திற்குக் கீழ்ப்படிதல்: கண்காணிகளுக்குக் கீழ்ப்படிதல் (episkopoi, ἐπίσκοποι) இராஜ்ய ஒழுங்கை வளர்க்கிறது (எபிரேயர் 13:17), இது லவோதிக்கேயாவின் சுயசார்பை எதிர்க்கிறது.</w:t>
      </w:r>
    </w:p>
    <w:p w14:paraId="0CB1F0B9" w14:textId="77777777" w:rsidR="003A2E05" w:rsidRPr="003A2E05" w:rsidRDefault="003A2E05" w:rsidP="007D2E46">
      <w:pPr>
        <w:pStyle w:val="Heading1"/>
      </w:pPr>
      <w:r>
        <w:t>6. ஐக்கியத்திற்கான அர்ப்பணிப்பு</w:t>
      </w:r>
    </w:p>
    <w:p w14:paraId="216CA6F3" w14:textId="77777777" w:rsidR="003A2E05" w:rsidRPr="003A2E05" w:rsidRDefault="003A2E05" w:rsidP="003A2E05">
      <w:pPr>
        <w:numPr>
          <w:ilvl w:val="0"/>
          <w:numId w:val="13"/>
        </w:numPr>
      </w:pPr>
      <w:r>
        <w:t>கூடுகையின் நோக்கம்: விசுவாசிகள் ஒருவரையொருவர் அன்பு மற்றும் நற்கிரியைகளை நோக்கித் தூண்டுவதற்காக (παροξυσμός) கூடுகிறார்கள் (எபிரேயர் 10:24-25). ஐக்கியத்தைப் புறக்கணிப்பதன் விலையை, எபேசுவின் அகப்பே (agapē) பேணத் தவறியது காட்டுகிறது.</w:t>
      </w:r>
    </w:p>
    <w:p w14:paraId="604D8587" w14:textId="77777777" w:rsidR="003A2E05" w:rsidRPr="003A2E05" w:rsidRDefault="003A2E05" w:rsidP="003A2E05">
      <w:pPr>
        <w:numPr>
          <w:ilvl w:val="0"/>
          <w:numId w:val="13"/>
        </w:numPr>
      </w:pPr>
      <w:r>
        <w:t>கொடுப்பதற்கான அர்ப்பணிப்பு: லவோதிக்கேயாவின் தன்னிறைவைப் போலல்லாமல், சபைக்குப் பங்களிப்பது (koinōnia, κοινωνία) இராஜ்யத்தின் தன்னலமற்ற தன்மையைப் பிரதிபலிக்கிறது (அப் 2:44-45).</w:t>
      </w:r>
    </w:p>
    <w:p w14:paraId="1908704D" w14:textId="77777777" w:rsidR="003A2E05" w:rsidRPr="003A2E05" w:rsidRDefault="003A2E05" w:rsidP="007D2E46">
      <w:pPr>
        <w:pStyle w:val="Heading1"/>
      </w:pPr>
      <w:r>
        <w:t>7. கடவுளின் பன்முக ஞானத்தின் வெளிப்பாடாகத் திருச்சபை</w:t>
      </w:r>
    </w:p>
    <w:p w14:paraId="73C8EECB" w14:textId="77777777" w:rsidR="003A2E05" w:rsidRPr="003A2E05" w:rsidRDefault="003A2E05" w:rsidP="003A2E05">
      <w:pPr>
        <w:numPr>
          <w:ilvl w:val="0"/>
          <w:numId w:val="14"/>
        </w:numPr>
      </w:pPr>
      <w:r>
        <w:t>நித்திய நோக்கம்: திருச்சபையானது தேவனுடைய பல்வகை ஞானத்தை (polypoikilos sophia) (எபேசியர் 3:10) வெளிப்படுத்துகிறது. பிலதெல்பியாவின் விசுவாசம் இந்த ஞானத்தை எடுத்துக்காட்டுகிறது.</w:t>
      </w:r>
    </w:p>
    <w:p w14:paraId="7E7DE41E" w14:textId="77777777" w:rsidR="003A2E05" w:rsidRPr="003A2E05" w:rsidRDefault="003A2E05" w:rsidP="003A2E05">
      <w:pPr>
        <w:numPr>
          <w:ilvl w:val="0"/>
          <w:numId w:val="14"/>
        </w:numPr>
      </w:pPr>
      <w:r>
        <w:t>கடவுள் மீதான நம்பிக்கை: சர்தீஸின் ஆன்மீக மரித்த நிலையைப் போலல்லாமல், விசுவாசிகள் திருச்சபையின் மூலமாகத் தைரியத்துடன் (parrēsia) கடவுளை அணுகுகிறார்கள் (எபேசியர் 3:12).</w:t>
      </w:r>
    </w:p>
    <w:p w14:paraId="3EA55533" w14:textId="77777777" w:rsidR="003A2E05" w:rsidRPr="003A2E05" w:rsidRDefault="003A2E05" w:rsidP="003A2E05">
      <w:pPr>
        <w:numPr>
          <w:ilvl w:val="0"/>
          <w:numId w:val="14"/>
        </w:numPr>
      </w:pPr>
      <w:r>
        <w:t>அர்ப்பணிப்புக்கான அழைப்பு: வருகை மற்றும் சேவை மூலமான முழுமையான பக்தி, அப்போஸ்தலர் 2:42-ல் காணப்படுவது போல, தேவனுடைய திட்டத்துடன் ஒத்துப்போகிறது.</w:t>
      </w:r>
    </w:p>
    <w:p w14:paraId="67C25A92" w14:textId="77777777" w:rsidR="003A2E05" w:rsidRPr="003A2E05" w:rsidRDefault="003A2E05" w:rsidP="007D2E46">
      <w:pPr>
        <w:pStyle w:val="Heading1"/>
      </w:pPr>
      <w:r>
        <w:t>8. திருச்சபையும் இறைராஜ்யமும்: ஓர் ஆழமான ஆய்வு</w:t>
      </w:r>
    </w:p>
    <w:p w14:paraId="26197319" w14:textId="77777777" w:rsidR="003A2E05" w:rsidRPr="003A2E05" w:rsidRDefault="003A2E05" w:rsidP="003A2E05">
      <w:r>
        <w:t>இராச்சியம் என்பது:</w:t>
      </w:r>
    </w:p>
    <w:p w14:paraId="39615AAD" w14:textId="77777777" w:rsidR="003A2E05" w:rsidRPr="003A2E05" w:rsidRDefault="003A2E05" w:rsidP="003A2E05">
      <w:pPr>
        <w:numPr>
          <w:ilvl w:val="0"/>
          <w:numId w:val="15"/>
        </w:numPr>
      </w:pPr>
      <w:r>
        <w:t>நிகழ்காலமும் எதிர்காலமும்: கிறிஸ்துவின் மூலமாகத் துதிக்கப்பட்டு (ēngiken, ἤγγικεν, சமீபத்தில் வந்திருக்கிறது) (மாற்கு 1:15), ஆயினும் எதிர்காலத்திலும் உள்ளது (வெளிப்படுத்தல் 11:15).</w:t>
      </w:r>
    </w:p>
    <w:p w14:paraId="66E07B75" w14:textId="77777777" w:rsidR="003A2E05" w:rsidRPr="003A2E05" w:rsidRDefault="003A2E05" w:rsidP="003A2E05">
      <w:pPr>
        <w:numPr>
          <w:ilvl w:val="0"/>
          <w:numId w:val="15"/>
        </w:numPr>
      </w:pPr>
      <w:r>
        <w:t>ஆவிக்குரியதும் கண்ணுக்குப் புலப்படுவதுமான: விசுவாசிகளின் இருதயங்களில் (லூக்கா 17:20-21) மற்றும் திருச்சபையின் ஊழியத்தின் மூலமாக (மத்தேயு 5:14-16).</w:t>
      </w:r>
    </w:p>
    <w:p w14:paraId="4CED24D3" w14:textId="77777777" w:rsidR="003A2E05" w:rsidRPr="003A2E05" w:rsidRDefault="003A2E05" w:rsidP="003A2E05">
      <w:pPr>
        <w:numPr>
          <w:ilvl w:val="0"/>
          <w:numId w:val="15"/>
        </w:numPr>
      </w:pPr>
      <w:r>
        <w:t>உருமாற்றம் அளிப்பது: இறைராஜ்யத்தின் முன்காவல் நிலையமாகத் திருச்சபை, வாழ்க்கையை உருமாற்றுகிறது (மெட்டானோயா, μετάνοια, மனந்திரும்புதல்) (மத்தேயு 28:19-20).</w:t>
      </w:r>
    </w:p>
    <w:p w14:paraId="40AA8D04" w14:textId="77777777" w:rsidR="003A2E05" w:rsidRPr="003A2E05" w:rsidRDefault="003A2E05" w:rsidP="003A2E05">
      <w:pPr>
        <w:numPr>
          <w:ilvl w:val="0"/>
          <w:numId w:val="15"/>
        </w:numPr>
      </w:pPr>
      <w:r>
        <w:t>நித்தியமானது: திருச்சபை தேவனுடைய நித்திய அரசாட்சியை எதிர்நோக்குகிறது (வெளிப்படுத்துதல் 22:1-5). ஏழு திருச்சபைகளின் கலவையான வரலாறு—ஸ்மிர்னாவின் விசுவாசம், லவோதிக்கேயாவின் தோல்வி—உறுதியான அர்ப்பணிப்பை வலியுறுத்துகிறது.</w:t>
      </w:r>
    </w:p>
    <w:p w14:paraId="69F0AE8A" w14:textId="77777777" w:rsidR="003A2E05" w:rsidRPr="003A2E05" w:rsidRDefault="003A2E05" w:rsidP="007D2E46">
      <w:pPr>
        <w:pStyle w:val="Heading1"/>
      </w:pPr>
      <w:r>
        <w:t>முடிவு</w:t>
      </w:r>
    </w:p>
    <w:p w14:paraId="5164C70A" w14:textId="77777777" w:rsidR="003A2E05" w:rsidRPr="003A2E05" w:rsidRDefault="003A2E05" w:rsidP="003A2E05">
      <w:r>
        <w:t>திருச்சபை என்பது தேவனுடைய ராஜ்யத்தை வெளிப்படுத்துவதற்கான அவருடைய கருவியாகும். வெளிப்படுத்தின விசேஷத்தில் உள்ள ஏழு திருச்சபைகளும் ஆவிக்குரிய சறுக்கலுக்கு (நெக்ரோஸ், க்லியாரோஸ்) எதிராக எச்சரித்து, விசுவாசத்தை (பிஸ்டோஸ்) பாராட்டுகின்றன. வருகை, ஐக்கியம் மற்றும் தலைமைக்குக் கீழ்ப்படிதல் ஆகியவற்றின் மூலம் உள்ளூர் திருச்சபைக்கு அர்ப்பணிப்பது ஆவிக்குரிய வளர்ச்சியை உறுதிசெய்து, தேவனுடைய நித்திய திட்டத்துடன் ஒத்துப்போகிறது. ஏழு திருச்சபைகளின் உறுப்பினர்களில் சுமார் 40% பேர் மட்டுமே இரட்சிக்கப்பட்ட நிலையில் இருந்திருக்க வாய்ப்புள்ளது, இது விசுவாசிகளை மெட்டானோயேசன் (மனந்திரும்புதல்) என்ற இயேசுவின் அழைப்புக்குச் செவிசாய்க்குமாறு வலியுறுத்துகிறது.</w:t>
      </w:r>
    </w:p>
    <w:p w14:paraId="22349B7C" w14:textId="77777777" w:rsidR="003A2E05" w:rsidRPr="003A2E05" w:rsidRDefault="003A2E05" w:rsidP="00F43B5B">
      <w:pPr>
        <w:pStyle w:val="Heading2"/>
      </w:pPr>
      <w:r>
        <w:t>நடைமுறைப்படுத்துவதற்கான வேதப்பூர்வமான குறிப்புகள்</w:t>
      </w:r>
    </w:p>
    <w:p w14:paraId="573D9726" w14:textId="77777777" w:rsidR="003A2E05" w:rsidRPr="003A2E05" w:rsidRDefault="003A2E05" w:rsidP="003A2E05">
      <w:pPr>
        <w:numPr>
          <w:ilvl w:val="0"/>
          <w:numId w:val="16"/>
        </w:numPr>
      </w:pPr>
      <w:r>
        <w:t>கொலோசெயர் 1:18: சபையின் தலைவராகிய கிறிஸ்துவுக்குக் கீழ்ப்படியுங்கள்.</w:t>
      </w:r>
    </w:p>
    <w:p w14:paraId="70DC61FF" w14:textId="77777777" w:rsidR="003A2E05" w:rsidRPr="003A2E05" w:rsidRDefault="003A2E05" w:rsidP="003A2E05">
      <w:pPr>
        <w:numPr>
          <w:ilvl w:val="0"/>
          <w:numId w:val="16"/>
        </w:numPr>
      </w:pPr>
      <w:r>
        <w:t>1 கொரிந்தியர் 12:12-27: சரீரத்தில் ஒன்றையொன்று சார்ந்திருப்பதை ஏற்றுக்கொள்ளுங்கள்.</w:t>
      </w:r>
    </w:p>
    <w:p w14:paraId="51A861A1" w14:textId="77777777" w:rsidR="003A2E05" w:rsidRPr="003A2E05" w:rsidRDefault="003A2E05" w:rsidP="003A2E05">
      <w:pPr>
        <w:numPr>
          <w:ilvl w:val="0"/>
          <w:numId w:val="16"/>
        </w:numPr>
      </w:pPr>
      <w:r>
        <w:t>எபிரேயர் 10:24-25: பிரிந்து செல்வதைத் தவிர்க்க, ஐக்கியத்திற்கு (koinōnia) முன்னுரிமை கொடுங்கள்.</w:t>
      </w:r>
    </w:p>
    <w:p w14:paraId="43B65034" w14:textId="77777777" w:rsidR="003A2E05" w:rsidRPr="003A2E05" w:rsidRDefault="003A2E05" w:rsidP="003A2E05">
      <w:pPr>
        <w:numPr>
          <w:ilvl w:val="0"/>
          <w:numId w:val="16"/>
        </w:numPr>
      </w:pPr>
      <w:r>
        <w:t>அப்போஸ்தலர் 2:42-47: ஆதித் திருச்சபையின் பக்திக்கு முன்மாதிரியாக இருங்கள்.</w:t>
      </w:r>
    </w:p>
    <w:p w14:paraId="442FB840" w14:textId="77777777" w:rsidR="003A2E05" w:rsidRPr="003A2E05" w:rsidRDefault="003A2E05" w:rsidP="003A2E05">
      <w:pPr>
        <w:numPr>
          <w:ilvl w:val="0"/>
          <w:numId w:val="16"/>
        </w:numPr>
      </w:pPr>
      <w:r>
        <w:t>எபேசியர் 2:19-22: மூலைக்கல்லாகிய கிறிஸ்துவின் மேல் கட்டுங்கள்.</w:t>
      </w:r>
    </w:p>
    <w:p w14:paraId="75BC5586" w14:textId="77777777" w:rsidR="003A2E05" w:rsidRPr="003A2E05" w:rsidRDefault="003A2E05" w:rsidP="00F43B5B">
      <w:pPr>
        <w:pStyle w:val="Heading2"/>
      </w:pPr>
      <w:r>
        <w:t>செயல்களுக்கான அழைப்பு</w:t>
      </w:r>
    </w:p>
    <w:p w14:paraId="5529F38F" w14:textId="77777777" w:rsidR="003A2E05" w:rsidRPr="003A2E05" w:rsidRDefault="003A2E05" w:rsidP="003A2E05">
      <w:r>
        <w:t>ஏழு சபைகளும் போதிப்பது போல, உங்கள் உள்ளூர் சபைக்கு உங்களை முழுமையாக அர்ப்பணியுங்கள். எல்லாக் கூட்டங்களிலும் கலந்துகொண்டு, தன்னலமின்றி சேவை செய்து, சர்தீஸ் மற்றும் லவோதிக்கேயாவின் தோல்விகளைத் தவிர்த்து, சிமிர்னா மற்றும் பிலதெல்பியாவைப் பின்பற்றி, தேவனுடைய ராஜ்யத்துடன் உங்களை இணைத்துக் கொள்ளுங்கள்.</w:t>
      </w:r>
    </w:p>
    <w:p w14:paraId="1D181EAE" w14:textId="77777777" w:rsidR="0038413E" w:rsidRDefault="0038413E" w:rsidP="003A2E05"/>
    <w:p w14:paraId="68C86059" w14:textId="77777777" w:rsidR="008F6526" w:rsidRPr="008F6526" w:rsidRDefault="00D20F4E" w:rsidP="008F6526">
      <w:r>
        <w:t>சுருக்க அட்டவணை: தேவனுடைய ராஜ்யத்தின் வெளிப்பாடாகத் திருச்சபை – மைய வேதாகமப் போதனைகள்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கருப்பொருள் / பிரிவு</w:t>
            </w:r>
          </w:p>
        </w:tc>
        <w:tc>
          <w:tcPr>
            <w:tcW w:w="0" w:type="auto"/>
            <w:vAlign w:val="center"/>
            <w:hideMark/>
          </w:tcPr>
          <w:p w14:paraId="4EA58D32" w14:textId="77777777" w:rsidR="00D20F4E" w:rsidRPr="00D20F4E" w:rsidRDefault="00D20F4E" w:rsidP="00D20F4E">
            <w:pPr>
              <w:rPr>
                <w:b/>
                <w:bCs/>
                <w:sz w:val="16"/>
                <w:szCs w:val="16"/>
              </w:rPr>
            </w:pPr>
            <w:r>
              <w:t>முக்கிய விவிலியக் கருத்து / உருவகம்</w:t>
            </w:r>
          </w:p>
        </w:tc>
        <w:tc>
          <w:tcPr>
            <w:tcW w:w="0" w:type="auto"/>
            <w:vAlign w:val="center"/>
            <w:hideMark/>
          </w:tcPr>
          <w:p w14:paraId="40269786" w14:textId="77777777" w:rsidR="00D20F4E" w:rsidRPr="00D20F4E" w:rsidRDefault="00D20F4E" w:rsidP="00D20F4E">
            <w:pPr>
              <w:rPr>
                <w:b/>
                <w:bCs/>
                <w:sz w:val="16"/>
                <w:szCs w:val="16"/>
              </w:rPr>
            </w:pPr>
            <w:r>
              <w:t>முக்கிய வேத ஆதாரங்கள்</w:t>
            </w:r>
          </w:p>
        </w:tc>
        <w:tc>
          <w:tcPr>
            <w:tcW w:w="0" w:type="auto"/>
            <w:vAlign w:val="center"/>
            <w:hideMark/>
          </w:tcPr>
          <w:p w14:paraId="238FB9C9" w14:textId="77777777" w:rsidR="00D20F4E" w:rsidRPr="00D20F4E" w:rsidRDefault="00D20F4E" w:rsidP="00D20F4E">
            <w:pPr>
              <w:rPr>
                <w:b/>
                <w:bCs/>
                <w:sz w:val="16"/>
                <w:szCs w:val="16"/>
              </w:rPr>
            </w:pPr>
            <w:r>
              <w:t>நடைமுறைப் பயன்பாடு / அர்ப்பணிப்புக்கான அழைப்பு</w:t>
            </w:r>
          </w:p>
        </w:tc>
        <w:tc>
          <w:tcPr>
            <w:tcW w:w="0" w:type="auto"/>
            <w:vAlign w:val="center"/>
            <w:hideMark/>
          </w:tcPr>
          <w:p w14:paraId="5BD72025" w14:textId="77777777" w:rsidR="00D20F4E" w:rsidRPr="00D20F4E" w:rsidRDefault="00D20F4E" w:rsidP="00D20F4E">
            <w:pPr>
              <w:rPr>
                <w:b/>
                <w:bCs/>
                <w:sz w:val="16"/>
                <w:szCs w:val="16"/>
              </w:rPr>
            </w:pPr>
            <w:r>
              <w:t>ஏழு திருச்சபைகளிலிருந்து நேர்மறையான உதாரணம்</w:t>
            </w:r>
          </w:p>
        </w:tc>
        <w:tc>
          <w:tcPr>
            <w:tcW w:w="0" w:type="auto"/>
            <w:vAlign w:val="center"/>
            <w:hideMark/>
          </w:tcPr>
          <w:p w14:paraId="66F91A42" w14:textId="77777777" w:rsidR="00D20F4E" w:rsidRPr="00D20F4E" w:rsidRDefault="00D20F4E" w:rsidP="00D20F4E">
            <w:pPr>
              <w:rPr>
                <w:b/>
                <w:bCs/>
                <w:sz w:val="16"/>
                <w:szCs w:val="16"/>
              </w:rPr>
            </w:pPr>
            <w:r>
              <w:t>ஏழு தேவாலயங்களிலிருந்து எதிர்மறை எச்சரிக்கை</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திருச்சபையின் விவிலிய அர்த்தம்</w:t>
            </w:r>
          </w:p>
        </w:tc>
        <w:tc>
          <w:tcPr>
            <w:tcW w:w="0" w:type="auto"/>
            <w:vAlign w:val="center"/>
            <w:hideMark/>
          </w:tcPr>
          <w:p w14:paraId="3AFA4EDB" w14:textId="77777777" w:rsidR="00D20F4E" w:rsidRPr="00D20F4E" w:rsidRDefault="00D20F4E" w:rsidP="00D20F4E">
            <w:pPr>
              <w:rPr>
                <w:sz w:val="16"/>
                <w:szCs w:val="16"/>
              </w:rPr>
            </w:pPr>
            <w:r>
              <w:t>எக்லேசியா = அழைக்கப்பட்ட சபை; உலகளாவிய மற்றும் உள்ளூர்</w:t>
            </w:r>
          </w:p>
        </w:tc>
        <w:tc>
          <w:tcPr>
            <w:tcW w:w="0" w:type="auto"/>
            <w:vAlign w:val="center"/>
            <w:hideMark/>
          </w:tcPr>
          <w:p w14:paraId="2FB005BF" w14:textId="77777777" w:rsidR="00D20F4E" w:rsidRPr="00D20F4E" w:rsidRDefault="00D20F4E" w:rsidP="00D20F4E">
            <w:pPr>
              <w:rPr>
                <w:sz w:val="16"/>
                <w:szCs w:val="16"/>
              </w:rPr>
            </w:pPr>
            <w:r>
              <w:t>மத்தேயு 16:18; அப்போஸ்தலர் 2:41-47; எபேசியர் 1:22-23; எபிரேயர் 12:22-24</w:t>
            </w:r>
          </w:p>
        </w:tc>
        <w:tc>
          <w:tcPr>
            <w:tcW w:w="0" w:type="auto"/>
            <w:vAlign w:val="center"/>
            <w:hideMark/>
          </w:tcPr>
          <w:p w14:paraId="0ED9303B" w14:textId="77777777" w:rsidR="00D20F4E" w:rsidRPr="00D20F4E" w:rsidRDefault="00D20F4E" w:rsidP="00D20F4E">
            <w:pPr>
              <w:rPr>
                <w:sz w:val="16"/>
                <w:szCs w:val="16"/>
              </w:rPr>
            </w:pPr>
            <w:r>
              <w:t>போதனை, ஐக்கியம், அப்பம் பிட்குதல், ஜெபம் ஆகியவற்றிற்காக அர்ப்பணிக்கப்பட்ட, கண்ணுக்குத் தெரியும் உள்ளூர் சபையின் ஓர் அங்கமாகுங்கள்.</w:t>
            </w:r>
          </w:p>
        </w:tc>
        <w:tc>
          <w:tcPr>
            <w:tcW w:w="0" w:type="auto"/>
            <w:vAlign w:val="center"/>
            <w:hideMark/>
          </w:tcPr>
          <w:p w14:paraId="3D1BF19E" w14:textId="77777777" w:rsidR="00D20F4E" w:rsidRPr="00D20F4E" w:rsidRDefault="00D20F4E" w:rsidP="00D20F4E">
            <w:pPr>
              <w:rPr>
                <w:sz w:val="16"/>
                <w:szCs w:val="16"/>
              </w:rPr>
            </w:pPr>
            <w:r>
              <w:t>ஸ்மிர்னா, பிலடெல்பியா (விசுவாசி)</w:t>
            </w:r>
          </w:p>
        </w:tc>
        <w:tc>
          <w:tcPr>
            <w:tcW w:w="0" w:type="auto"/>
            <w:vAlign w:val="center"/>
            <w:hideMark/>
          </w:tcPr>
          <w:p w14:paraId="74111E5A" w14:textId="77777777" w:rsidR="00D20F4E" w:rsidRPr="00D20F4E" w:rsidRDefault="00D20F4E" w:rsidP="00D20F4E">
            <w:pPr>
              <w:rPr>
                <w:sz w:val="16"/>
                <w:szCs w:val="16"/>
              </w:rPr>
            </w:pPr>
            <w:r>
              <w:t>லவோதிக்கேயா (வெதுவெதுப்பான பற்றின்மை)</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திருச்சபை மற்றும் ராஜ்ய உறவு</w:t>
            </w:r>
          </w:p>
        </w:tc>
        <w:tc>
          <w:tcPr>
            <w:tcW w:w="0" w:type="auto"/>
            <w:vAlign w:val="center"/>
            <w:hideMark/>
          </w:tcPr>
          <w:p w14:paraId="39DA7409" w14:textId="77777777" w:rsidR="00D20F4E" w:rsidRPr="00D20F4E" w:rsidRDefault="00D20F4E" w:rsidP="00D20F4E">
            <w:pPr>
              <w:rPr>
                <w:sz w:val="16"/>
                <w:szCs w:val="16"/>
              </w:rPr>
            </w:pPr>
            <w:r>
              <w:t>இறைவனின் ஆட்சியின் தற்போதைய வெளிப்பாடு; முழுமையான எதிர்கால ஆட்சியை முன்னறிவிக்கிறது.</w:t>
            </w:r>
          </w:p>
        </w:tc>
        <w:tc>
          <w:tcPr>
            <w:tcW w:w="0" w:type="auto"/>
            <w:vAlign w:val="center"/>
            <w:hideMark/>
          </w:tcPr>
          <w:p w14:paraId="0CA25C35" w14:textId="77777777" w:rsidR="00D20F4E" w:rsidRPr="00D20F4E" w:rsidRDefault="00D20F4E" w:rsidP="00D20F4E">
            <w:pPr>
              <w:rPr>
                <w:sz w:val="16"/>
                <w:szCs w:val="16"/>
              </w:rPr>
            </w:pPr>
            <w:r>
              <w:t>மாற்கு 1:15; லூக்கா 17:20-21; கொலோசெயர் 1:13-14; வெளிப்படுத்தல் 11:15, 21:1-4</w:t>
            </w:r>
          </w:p>
        </w:tc>
        <w:tc>
          <w:tcPr>
            <w:tcW w:w="0" w:type="auto"/>
            <w:vAlign w:val="center"/>
            <w:hideMark/>
          </w:tcPr>
          <w:p w14:paraId="4BB8160D" w14:textId="77777777" w:rsidR="00D20F4E" w:rsidRPr="00D20F4E" w:rsidRDefault="00D20F4E" w:rsidP="00D20F4E">
            <w:pPr>
              <w:rPr>
                <w:sz w:val="16"/>
                <w:szCs w:val="16"/>
              </w:rPr>
            </w:pPr>
            <w:r>
              <w:t>இப்பொழுதே பக்தி, ஒற்றுமை, மற்றும் ஊழியத்தின் மூலம் தேவனுடைய ராஜ்யத்தின் விழுமியங்களை வாழ்ந்து காட்டுங்கள்.</w:t>
            </w:r>
          </w:p>
        </w:tc>
        <w:tc>
          <w:tcPr>
            <w:tcW w:w="0" w:type="auto"/>
            <w:vAlign w:val="center"/>
            <w:hideMark/>
          </w:tcPr>
          <w:p w14:paraId="7032BE6C" w14:textId="77777777" w:rsidR="00D20F4E" w:rsidRPr="00D20F4E" w:rsidRDefault="00D20F4E" w:rsidP="00D20F4E">
            <w:pPr>
              <w:rPr>
                <w:sz w:val="16"/>
                <w:szCs w:val="16"/>
              </w:rPr>
            </w:pPr>
            <w:r>
              <w:t>ஸ்மிர்னா, பிலடெல்பியா</w:t>
            </w:r>
          </w:p>
        </w:tc>
        <w:tc>
          <w:tcPr>
            <w:tcW w:w="0" w:type="auto"/>
            <w:vAlign w:val="center"/>
            <w:hideMark/>
          </w:tcPr>
          <w:p w14:paraId="65C01CEF" w14:textId="77777777" w:rsidR="00D20F4E" w:rsidRPr="00D20F4E" w:rsidRDefault="00D20F4E" w:rsidP="00D20F4E">
            <w:pPr>
              <w:rPr>
                <w:sz w:val="16"/>
                <w:szCs w:val="16"/>
              </w:rPr>
            </w:pPr>
            <w:r>
              <w:t>சர்திஸ் (இறந்த), லவோதிக்கேயா (தன்னிறைவு பெற்ற)</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சக்திவாய்ந்த விளக்கங்கள்</w:t>
            </w:r>
          </w:p>
        </w:tc>
        <w:tc>
          <w:tcPr>
            <w:tcW w:w="0" w:type="auto"/>
            <w:vAlign w:val="center"/>
            <w:hideMark/>
          </w:tcPr>
          <w:p w14:paraId="1183547C" w14:textId="77777777" w:rsidR="00D20F4E" w:rsidRPr="00D20F4E" w:rsidRDefault="00D20F4E" w:rsidP="00D20F4E">
            <w:pPr>
              <w:rPr>
                <w:sz w:val="16"/>
                <w:szCs w:val="16"/>
              </w:rPr>
            </w:pPr>
            <w:r>
              <w:t>குடும்பம், கட்டிடம் (கிறிஸ்துவின் மூலைக்கல்), பரிசுத்த ஆலயம், கிறிஸ்துவின் சரீரம்</w:t>
            </w:r>
          </w:p>
        </w:tc>
        <w:tc>
          <w:tcPr>
            <w:tcW w:w="0" w:type="auto"/>
            <w:vAlign w:val="center"/>
            <w:hideMark/>
          </w:tcPr>
          <w:p w14:paraId="764CE579" w14:textId="77777777" w:rsidR="00D20F4E" w:rsidRPr="00D20F4E" w:rsidRDefault="00D20F4E" w:rsidP="00D20F4E">
            <w:pPr>
              <w:rPr>
                <w:sz w:val="16"/>
                <w:szCs w:val="16"/>
              </w:rPr>
            </w:pPr>
            <w:r>
              <w:t>எபேசியர் 2:19-22; 1 கொரிந்தியர் 3:16-17; 1 தீமோத்தேயு 3:15; கொலோசெயர் 1:18</w:t>
            </w:r>
          </w:p>
        </w:tc>
        <w:tc>
          <w:tcPr>
            <w:tcW w:w="0" w:type="auto"/>
            <w:vAlign w:val="center"/>
            <w:hideMark/>
          </w:tcPr>
          <w:p w14:paraId="7F0C3748" w14:textId="77777777" w:rsidR="00D20F4E" w:rsidRPr="00D20F4E" w:rsidRDefault="00D20F4E" w:rsidP="00D20F4E">
            <w:pPr>
              <w:rPr>
                <w:sz w:val="16"/>
                <w:szCs w:val="16"/>
              </w:rPr>
            </w:pPr>
            <w:r>
              <w:t>கிறிஸ்துவின் மீது கட்டியெழுப்புங்கள்; தூய்மையைக் காத்துக்கொள்ளுங்கள்; ஒன்றையொன்று சார்ந்து செயல்படுங்கள்.</w:t>
            </w:r>
          </w:p>
        </w:tc>
        <w:tc>
          <w:tcPr>
            <w:tcW w:w="0" w:type="auto"/>
            <w:vAlign w:val="center"/>
            <w:hideMark/>
          </w:tcPr>
          <w:p w14:paraId="12B1CDC1" w14:textId="77777777" w:rsidR="00D20F4E" w:rsidRPr="00D20F4E" w:rsidRDefault="00D20F4E" w:rsidP="00D20F4E">
            <w:pPr>
              <w:rPr>
                <w:sz w:val="16"/>
                <w:szCs w:val="16"/>
              </w:rPr>
            </w:pPr>
            <w:r>
              <w:t>பிலடெல்பியா (தூண் வாக்குறுதி)</w:t>
            </w:r>
          </w:p>
        </w:tc>
        <w:tc>
          <w:tcPr>
            <w:tcW w:w="0" w:type="auto"/>
            <w:vAlign w:val="center"/>
            <w:hideMark/>
          </w:tcPr>
          <w:p w14:paraId="4A2F1DAF" w14:textId="77777777" w:rsidR="00D20F4E" w:rsidRPr="00D20F4E" w:rsidRDefault="00D20F4E" w:rsidP="00D20F4E">
            <w:pPr>
              <w:rPr>
                <w:sz w:val="16"/>
                <w:szCs w:val="16"/>
              </w:rPr>
            </w:pPr>
            <w:r>
              <w:t>எபேசு (இழந்த காதல் நிலைத்தன்மையை அச்சுறுத்துகிறது), சர்திஸ் (கறை படிந்த ஆடைகள்)</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திருச்சபையில் ஒற்றுமை</w:t>
            </w:r>
          </w:p>
        </w:tc>
        <w:tc>
          <w:tcPr>
            <w:tcW w:w="0" w:type="auto"/>
            <w:vAlign w:val="center"/>
            <w:hideMark/>
          </w:tcPr>
          <w:p w14:paraId="4D08FC56" w14:textId="77777777" w:rsidR="00D20F4E" w:rsidRPr="00D20F4E" w:rsidRDefault="00D20F4E" w:rsidP="00D20F4E">
            <w:pPr>
              <w:rPr>
                <w:sz w:val="16"/>
                <w:szCs w:val="16"/>
              </w:rPr>
            </w:pPr>
            <w:r>
              <w:t>ஒரே உடலால் ஒரே ஆன்மா; ஒரே மனம்; பிரிவினைகளைத் தவிர்க்கவும்</w:t>
            </w:r>
          </w:p>
        </w:tc>
        <w:tc>
          <w:tcPr>
            <w:tcW w:w="0" w:type="auto"/>
            <w:vAlign w:val="center"/>
            <w:hideMark/>
          </w:tcPr>
          <w:p w14:paraId="6CC55811" w14:textId="77777777" w:rsidR="00D20F4E" w:rsidRPr="00D20F4E" w:rsidRDefault="00D20F4E" w:rsidP="00D20F4E">
            <w:pPr>
              <w:rPr>
                <w:sz w:val="16"/>
                <w:szCs w:val="16"/>
              </w:rPr>
            </w:pPr>
            <w:r>
              <w:t>1 கொரிந்தியர் 12:12-13; எபேசியர் 4:4-6; 1 கொரிந்தியர் 1:10</w:t>
            </w:r>
          </w:p>
        </w:tc>
        <w:tc>
          <w:tcPr>
            <w:tcW w:w="0" w:type="auto"/>
            <w:vAlign w:val="center"/>
            <w:hideMark/>
          </w:tcPr>
          <w:p w14:paraId="69D0626F" w14:textId="77777777" w:rsidR="00D20F4E" w:rsidRPr="00D20F4E" w:rsidRDefault="00D20F4E" w:rsidP="00D20F4E">
            <w:pPr>
              <w:rPr>
                <w:sz w:val="16"/>
                <w:szCs w:val="16"/>
              </w:rPr>
            </w:pPr>
            <w:r>
              <w:t>வேதாகமத்தின்படி நடப்பவற்றை (ஃப்ரோனியோ) பின்பற்றுங்கள்; பிரிவினையை நிராகரியுங்கள்.</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பெர்கமோஸ் (தவறான போதனை பிரிவினையை ஏற்படுத்தியது)</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தலைமைத்துவம் மற்றும் அதிகாரம்</w:t>
            </w:r>
          </w:p>
        </w:tc>
        <w:tc>
          <w:tcPr>
            <w:tcW w:w="0" w:type="auto"/>
            <w:vAlign w:val="center"/>
            <w:hideMark/>
          </w:tcPr>
          <w:p w14:paraId="5C65DCDB" w14:textId="77777777" w:rsidR="00D20F4E" w:rsidRPr="00D20F4E" w:rsidRDefault="00D20F4E" w:rsidP="00D20F4E">
            <w:pPr>
              <w:rPr>
                <w:sz w:val="16"/>
                <w:szCs w:val="16"/>
              </w:rPr>
            </w:pPr>
            <w:r>
              <w:t>மூப்பர்களைக் கனப்படுத்துங்கள்; கண்காணிகளுக்குக் கீழ்ப்படியுங்கள்.</w:t>
            </w:r>
          </w:p>
        </w:tc>
        <w:tc>
          <w:tcPr>
            <w:tcW w:w="0" w:type="auto"/>
            <w:vAlign w:val="center"/>
            <w:hideMark/>
          </w:tcPr>
          <w:p w14:paraId="4AD6A5B5" w14:textId="77777777" w:rsidR="00D20F4E" w:rsidRPr="00D20F4E" w:rsidRDefault="00D20F4E" w:rsidP="00D20F4E">
            <w:pPr>
              <w:rPr>
                <w:sz w:val="16"/>
                <w:szCs w:val="16"/>
              </w:rPr>
            </w:pPr>
            <w:r>
              <w:t>1 தீமோத்தேயு 5:17; எபிரேயர் 13:7,17</w:t>
            </w:r>
          </w:p>
        </w:tc>
        <w:tc>
          <w:tcPr>
            <w:tcW w:w="0" w:type="auto"/>
            <w:vAlign w:val="center"/>
            <w:hideMark/>
          </w:tcPr>
          <w:p w14:paraId="279FFD07" w14:textId="77777777" w:rsidR="00D20F4E" w:rsidRPr="00D20F4E" w:rsidRDefault="00D20F4E" w:rsidP="00D20F4E">
            <w:pPr>
              <w:rPr>
                <w:sz w:val="16"/>
                <w:szCs w:val="16"/>
              </w:rPr>
            </w:pPr>
            <w:r>
              <w:t>விசுவாசமுள்ள தலைவர்களைப் பின்பற்றுங்கள்; கட்டளைக்குக் கீழ்ப்படியுங்கள்.</w:t>
            </w:r>
          </w:p>
        </w:tc>
        <w:tc>
          <w:tcPr>
            <w:tcW w:w="0" w:type="auto"/>
            <w:vAlign w:val="center"/>
            <w:hideMark/>
          </w:tcPr>
          <w:p w14:paraId="3FBABB14" w14:textId="77777777" w:rsidR="00D20F4E" w:rsidRPr="00D20F4E" w:rsidRDefault="00D20F4E" w:rsidP="00D20F4E">
            <w:pPr>
              <w:rPr>
                <w:sz w:val="16"/>
                <w:szCs w:val="16"/>
              </w:rPr>
            </w:pPr>
            <w:r>
              <w:t>ஸ்மிர்னா, பிலடெல்பியா</w:t>
            </w:r>
          </w:p>
        </w:tc>
        <w:tc>
          <w:tcPr>
            <w:tcW w:w="0" w:type="auto"/>
            <w:vAlign w:val="center"/>
            <w:hideMark/>
          </w:tcPr>
          <w:p w14:paraId="79A7B751" w14:textId="77777777" w:rsidR="00D20F4E" w:rsidRPr="00D20F4E" w:rsidRDefault="00D20F4E" w:rsidP="00D20F4E">
            <w:pPr>
              <w:rPr>
                <w:sz w:val="16"/>
                <w:szCs w:val="16"/>
              </w:rPr>
            </w:pPr>
            <w:r>
              <w:t>லவோதிக்கேயா (தன்னிறைவு, புறக்கணிக்கப்பட்ட அதிகாரம்)</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ஐக்கியத்திற்கான அர்ப்பணிப்பு</w:t>
            </w:r>
          </w:p>
        </w:tc>
        <w:tc>
          <w:tcPr>
            <w:tcW w:w="0" w:type="auto"/>
            <w:vAlign w:val="center"/>
            <w:hideMark/>
          </w:tcPr>
          <w:p w14:paraId="1A49CE74" w14:textId="77777777" w:rsidR="00D20F4E" w:rsidRPr="00D20F4E" w:rsidRDefault="00D20F4E" w:rsidP="00D20F4E">
            <w:pPr>
              <w:rPr>
                <w:sz w:val="16"/>
                <w:szCs w:val="16"/>
              </w:rPr>
            </w:pPr>
            <w:r>
              <w:t>அன்புக்கும் நற்செயல்களுக்கும் ஒருவரையொருவர் ஊக்குவியுங்கள்; வளங்களைப் பகிர்ந்து கொள்ளுங்கள்.</w:t>
            </w:r>
          </w:p>
        </w:tc>
        <w:tc>
          <w:tcPr>
            <w:tcW w:w="0" w:type="auto"/>
            <w:vAlign w:val="center"/>
            <w:hideMark/>
          </w:tcPr>
          <w:p w14:paraId="1C81EADF" w14:textId="77777777" w:rsidR="00D20F4E" w:rsidRPr="00D20F4E" w:rsidRDefault="00D20F4E" w:rsidP="00D20F4E">
            <w:pPr>
              <w:rPr>
                <w:sz w:val="16"/>
                <w:szCs w:val="16"/>
              </w:rPr>
            </w:pPr>
            <w:r>
              <w:t>எபிரேயர் 10:24-25; அப்போஸ்தலர் 2:44-45</w:t>
            </w:r>
          </w:p>
        </w:tc>
        <w:tc>
          <w:tcPr>
            <w:tcW w:w="0" w:type="auto"/>
            <w:vAlign w:val="center"/>
            <w:hideMark/>
          </w:tcPr>
          <w:p w14:paraId="3F1C1F5D" w14:textId="77777777" w:rsidR="00D20F4E" w:rsidRPr="00D20F4E" w:rsidRDefault="00D20F4E" w:rsidP="00D20F4E">
            <w:pPr>
              <w:rPr>
                <w:sz w:val="16"/>
                <w:szCs w:val="16"/>
              </w:rPr>
            </w:pPr>
            <w:r>
              <w:t>சேகரித்தல், கொடுத்தல், கொய்னோனியா ஆகியவற்றுக்கு முன்னுரிமை கொடுங்கள்</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எபேசு (புறக்கணிக்கப்பட்ட அன்பு), லவோதிக்கேயா (தன்னலம் சார்ந்த)</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பன்முக ஞானம் மற்றும் நித்திய நோக்கம்</w:t>
            </w:r>
          </w:p>
        </w:tc>
        <w:tc>
          <w:tcPr>
            <w:tcW w:w="0" w:type="auto"/>
            <w:vAlign w:val="center"/>
            <w:hideMark/>
          </w:tcPr>
          <w:p w14:paraId="0639E922" w14:textId="77777777" w:rsidR="00D20F4E" w:rsidRPr="00D20F4E" w:rsidRDefault="00D20F4E" w:rsidP="00D20F4E">
            <w:pPr>
              <w:rPr>
                <w:sz w:val="16"/>
                <w:szCs w:val="16"/>
              </w:rPr>
            </w:pPr>
            <w:r>
              <w:t>திருச்சபை கடவுளின் பன்முக ஞானத்தை வெளிப்படுத்துகிறது; அணுகுவதில் துணிச்சல்</w:t>
            </w:r>
          </w:p>
        </w:tc>
        <w:tc>
          <w:tcPr>
            <w:tcW w:w="0" w:type="auto"/>
            <w:vAlign w:val="center"/>
            <w:hideMark/>
          </w:tcPr>
          <w:p w14:paraId="76B18222" w14:textId="77777777" w:rsidR="00D20F4E" w:rsidRPr="00D20F4E" w:rsidRDefault="00D20F4E" w:rsidP="00D20F4E">
            <w:pPr>
              <w:rPr>
                <w:sz w:val="16"/>
                <w:szCs w:val="16"/>
              </w:rPr>
            </w:pPr>
            <w:r>
              <w:t>எபேசியர் 3:10,12</w:t>
            </w:r>
          </w:p>
        </w:tc>
        <w:tc>
          <w:tcPr>
            <w:tcW w:w="0" w:type="auto"/>
            <w:vAlign w:val="center"/>
            <w:hideMark/>
          </w:tcPr>
          <w:p w14:paraId="12DA48D1" w14:textId="77777777" w:rsidR="00D20F4E" w:rsidRPr="00D20F4E" w:rsidRDefault="00D20F4E" w:rsidP="00D20F4E">
            <w:pPr>
              <w:rPr>
                <w:sz w:val="16"/>
                <w:szCs w:val="16"/>
              </w:rPr>
            </w:pPr>
            <w:r>
              <w:t>நம்பிக்கையுடன் இறைவனை அணுகுங்கள்; நித்திய இராஜ்யத்தின் முன்காவல் நிலையமாகச் சேவை செய்யுங்கள்.</w:t>
            </w:r>
          </w:p>
        </w:tc>
        <w:tc>
          <w:tcPr>
            <w:tcW w:w="0" w:type="auto"/>
            <w:vAlign w:val="center"/>
            <w:hideMark/>
          </w:tcPr>
          <w:p w14:paraId="5B283425" w14:textId="77777777" w:rsidR="00D20F4E" w:rsidRPr="00D20F4E" w:rsidRDefault="00D20F4E" w:rsidP="00D20F4E">
            <w:pPr>
              <w:rPr>
                <w:sz w:val="16"/>
                <w:szCs w:val="16"/>
              </w:rPr>
            </w:pPr>
            <w:r>
              <w:t>பிலடெல்பியா (பல்வேறுபட்ட ஞானம் வெளிப்பட்டது)</w:t>
            </w:r>
          </w:p>
        </w:tc>
        <w:tc>
          <w:tcPr>
            <w:tcW w:w="0" w:type="auto"/>
            <w:vAlign w:val="center"/>
            <w:hideMark/>
          </w:tcPr>
          <w:p w14:paraId="30654E74" w14:textId="77777777" w:rsidR="00D20F4E" w:rsidRPr="00D20F4E" w:rsidRDefault="00D20F4E" w:rsidP="00D20F4E">
            <w:pPr>
              <w:rPr>
                <w:sz w:val="16"/>
                <w:szCs w:val="16"/>
              </w:rPr>
            </w:pPr>
            <w:r>
              <w:t>சர்திஸ் (மரணம் ஞானத்தை மறைக்கிறது)</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ஒட்டுமொத்த அழைப்பு</w:t>
            </w:r>
          </w:p>
        </w:tc>
        <w:tc>
          <w:tcPr>
            <w:tcW w:w="0" w:type="auto"/>
            <w:vAlign w:val="center"/>
            <w:hideMark/>
          </w:tcPr>
          <w:p w14:paraId="13518800" w14:textId="77777777" w:rsidR="00D20F4E" w:rsidRPr="00D20F4E" w:rsidRDefault="00D20F4E" w:rsidP="00D20F4E">
            <w:pPr>
              <w:rPr>
                <w:sz w:val="16"/>
                <w:szCs w:val="16"/>
              </w:rPr>
            </w:pPr>
            <w:r>
              <w:t>முழு அர்ப்பணிப்பு கடவுளின் திட்டத்துடன் ஒத்துப்போகிறது.</w:t>
            </w:r>
          </w:p>
        </w:tc>
        <w:tc>
          <w:tcPr>
            <w:tcW w:w="0" w:type="auto"/>
            <w:vAlign w:val="center"/>
            <w:hideMark/>
          </w:tcPr>
          <w:p w14:paraId="39DB26F1" w14:textId="77777777" w:rsidR="00D20F4E" w:rsidRPr="00D20F4E" w:rsidRDefault="00D20F4E" w:rsidP="00D20F4E">
            <w:pPr>
              <w:rPr>
                <w:sz w:val="16"/>
                <w:szCs w:val="16"/>
              </w:rPr>
            </w:pPr>
            <w:r>
              <w:t>அப்போஸ்தலர் 2:42-47; கொலோசெயர் 1:18; எபேசியர் 2:19-22</w:t>
            </w:r>
          </w:p>
        </w:tc>
        <w:tc>
          <w:tcPr>
            <w:tcW w:w="0" w:type="auto"/>
            <w:vAlign w:val="center"/>
            <w:hideMark/>
          </w:tcPr>
          <w:p w14:paraId="2771B535" w14:textId="77777777" w:rsidR="00D20F4E" w:rsidRPr="00D20F4E" w:rsidRDefault="00D20F4E" w:rsidP="00D20F4E">
            <w:pPr>
              <w:rPr>
                <w:sz w:val="16"/>
                <w:szCs w:val="16"/>
              </w:rPr>
            </w:pPr>
            <w:r>
              <w:t>தவறாமல் கலந்துகொள்ளுங்கள், தன்னலமின்றி சேவை செய்யுங்கள், தேவைப்படும் இடங்களில் மனந்திரும்புங்கள்.</w:t>
            </w:r>
          </w:p>
        </w:tc>
        <w:tc>
          <w:tcPr>
            <w:tcW w:w="0" w:type="auto"/>
            <w:vAlign w:val="center"/>
            <w:hideMark/>
          </w:tcPr>
          <w:p w14:paraId="50417AEF" w14:textId="77777777" w:rsidR="00D20F4E" w:rsidRPr="00D20F4E" w:rsidRDefault="00D20F4E" w:rsidP="00D20F4E">
            <w:pPr>
              <w:rPr>
                <w:sz w:val="16"/>
                <w:szCs w:val="16"/>
              </w:rPr>
            </w:pPr>
            <w:r>
              <w:t>ஸ்மிர்னா &amp;amp; பிலடெல்பியா (பிஸ்டோஸ்)</w:t>
            </w:r>
          </w:p>
        </w:tc>
        <w:tc>
          <w:tcPr>
            <w:tcW w:w="0" w:type="auto"/>
            <w:vAlign w:val="center"/>
            <w:hideMark/>
          </w:tcPr>
          <w:p w14:paraId="7B160401" w14:textId="77777777" w:rsidR="00D20F4E" w:rsidRPr="00D20F4E" w:rsidRDefault="00D20F4E" w:rsidP="00D20F4E">
            <w:pPr>
              <w:rPr>
                <w:sz w:val="16"/>
                <w:szCs w:val="16"/>
              </w:rPr>
            </w:pPr>
            <w:r>
              <w:t>சர்டிஸ் &amp;amp; லாவோடிசியா (நெக்ரோஸ், க்ளியரோஸ்)</w:t>
            </w:r>
          </w:p>
        </w:tc>
      </w:tr>
    </w:tbl>
    <w:p w14:paraId="4B907765" w14:textId="77777777" w:rsidR="003D76E6" w:rsidRDefault="003D76E6" w:rsidP="003A2E05"/>
    <w:p w14:paraId="6243DF55" w14:textId="34AEBE68" w:rsidR="003D76E6" w:rsidRDefault="00CF31E1" w:rsidP="003A2E05">
      <w:r>
        <w:t>சுருக்க அட்டவணை: வெளிப்படுத்தல் 2–3-ல் உள்ள ஏழு சபைகளின் மதிப்பீடு</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தேவாலயம்</w:t>
            </w:r>
          </w:p>
        </w:tc>
        <w:tc>
          <w:tcPr>
            <w:tcW w:w="0" w:type="auto"/>
            <w:vAlign w:val="center"/>
            <w:hideMark/>
          </w:tcPr>
          <w:p w14:paraId="6ED7B9E9" w14:textId="77777777" w:rsidR="00882026" w:rsidRPr="00882026" w:rsidRDefault="00882026" w:rsidP="00882026">
            <w:pPr>
              <w:rPr>
                <w:b/>
                <w:bCs/>
                <w:sz w:val="16"/>
                <w:szCs w:val="16"/>
              </w:rPr>
            </w:pPr>
            <w:r>
              <w:t>முக்கிய பாராட்டு</w:t>
            </w:r>
          </w:p>
        </w:tc>
        <w:tc>
          <w:tcPr>
            <w:tcW w:w="0" w:type="auto"/>
            <w:vAlign w:val="center"/>
            <w:hideMark/>
          </w:tcPr>
          <w:p w14:paraId="65040CD0" w14:textId="77777777" w:rsidR="00882026" w:rsidRPr="00882026" w:rsidRDefault="00882026" w:rsidP="00882026">
            <w:pPr>
              <w:rPr>
                <w:b/>
                <w:bCs/>
                <w:sz w:val="16"/>
                <w:szCs w:val="16"/>
              </w:rPr>
            </w:pPr>
            <w:r>
              <w:t>முக்கிய கண்டனம் / பெரும் தோல்வி</w:t>
            </w:r>
          </w:p>
        </w:tc>
        <w:tc>
          <w:tcPr>
            <w:tcW w:w="0" w:type="auto"/>
            <w:vAlign w:val="center"/>
            <w:hideMark/>
          </w:tcPr>
          <w:p w14:paraId="676C7A6D" w14:textId="77777777" w:rsidR="00882026" w:rsidRPr="00882026" w:rsidRDefault="00882026" w:rsidP="00882026">
            <w:pPr>
              <w:rPr>
                <w:b/>
                <w:bCs/>
                <w:sz w:val="16"/>
                <w:szCs w:val="16"/>
              </w:rPr>
            </w:pPr>
            <w:r>
              <w:t>மதிப்பிடப்பட்ட மதிப்பெண் (இயேசுவின் திருப்தி)</w:t>
            </w:r>
          </w:p>
        </w:tc>
        <w:tc>
          <w:tcPr>
            <w:tcW w:w="0" w:type="auto"/>
            <w:vAlign w:val="center"/>
            <w:hideMark/>
          </w:tcPr>
          <w:p w14:paraId="47A192E5" w14:textId="77777777" w:rsidR="00882026" w:rsidRPr="00882026" w:rsidRDefault="00882026" w:rsidP="00882026">
            <w:pPr>
              <w:rPr>
                <w:b/>
                <w:bCs/>
                <w:sz w:val="16"/>
                <w:szCs w:val="16"/>
              </w:rPr>
            </w:pPr>
            <w:r>
              <w:t>சேமிக்கப்பட வாய்ப்புள்ள உத்தேச சதவீதம்</w:t>
            </w:r>
          </w:p>
        </w:tc>
        <w:tc>
          <w:tcPr>
            <w:tcW w:w="0" w:type="auto"/>
            <w:vAlign w:val="center"/>
            <w:hideMark/>
          </w:tcPr>
          <w:p w14:paraId="1C8D393B" w14:textId="77777777" w:rsidR="00882026" w:rsidRPr="00882026" w:rsidRDefault="00882026" w:rsidP="00882026">
            <w:pPr>
              <w:rPr>
                <w:b/>
                <w:bCs/>
                <w:sz w:val="16"/>
                <w:szCs w:val="16"/>
              </w:rPr>
            </w:pPr>
            <w:r>
              <w:t>முதன்மை ஆன்மீக எச்சரிக்கை / பாடம்</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எபேசு</w:t>
            </w:r>
          </w:p>
        </w:tc>
        <w:tc>
          <w:tcPr>
            <w:tcW w:w="0" w:type="auto"/>
            <w:vAlign w:val="center"/>
            <w:hideMark/>
          </w:tcPr>
          <w:p w14:paraId="04A71031" w14:textId="77777777" w:rsidR="00882026" w:rsidRPr="00882026" w:rsidRDefault="00882026" w:rsidP="00882026">
            <w:pPr>
              <w:rPr>
                <w:sz w:val="16"/>
                <w:szCs w:val="16"/>
              </w:rPr>
            </w:pPr>
            <w:r>
              <w:t>வலுவான கோட்பாடு, கள்ள அப்போஸ்தலர்களையும் நிக்கோலாயித்தரையும் நிராகரித்தது.</w:t>
            </w:r>
          </w:p>
        </w:tc>
        <w:tc>
          <w:tcPr>
            <w:tcW w:w="0" w:type="auto"/>
            <w:vAlign w:val="center"/>
            <w:hideMark/>
          </w:tcPr>
          <w:p w14:paraId="1824CEC4" w14:textId="77777777" w:rsidR="00882026" w:rsidRPr="00882026" w:rsidRDefault="00882026" w:rsidP="00882026">
            <w:pPr>
              <w:rPr>
                <w:sz w:val="16"/>
                <w:szCs w:val="16"/>
              </w:rPr>
            </w:pPr>
            <w:r>
              <w:t>கைவிடப்பட்ட முதல் காதல் (agapē prōtē); விளக்குத்தண்டு அகற்றப்படும் அபாயம் உள்ளது.</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ஆழ்ந்த பக்தி இல்லாத கோட்பாடு போதாது.</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ஸ்மிர்னா</w:t>
            </w:r>
          </w:p>
        </w:tc>
        <w:tc>
          <w:tcPr>
            <w:tcW w:w="0" w:type="auto"/>
            <w:vAlign w:val="center"/>
            <w:hideMark/>
          </w:tcPr>
          <w:p w14:paraId="2EEFDF61" w14:textId="77777777" w:rsidR="00882026" w:rsidRPr="00882026" w:rsidRDefault="00882026" w:rsidP="00882026">
            <w:pPr>
              <w:rPr>
                <w:sz w:val="16"/>
                <w:szCs w:val="16"/>
              </w:rPr>
            </w:pPr>
            <w:r>
              <w:t>துன்புறுத்தலின் கீழும் உண்மையுள்ளவர்; கண்டனம் இல்லை.</w:t>
            </w:r>
          </w:p>
        </w:tc>
        <w:tc>
          <w:tcPr>
            <w:tcW w:w="0" w:type="auto"/>
            <w:vAlign w:val="center"/>
            <w:hideMark/>
          </w:tcPr>
          <w:p w14:paraId="43596165" w14:textId="77777777" w:rsidR="00882026" w:rsidRPr="00882026" w:rsidRDefault="00882026" w:rsidP="00882026">
            <w:pPr>
              <w:rPr>
                <w:sz w:val="16"/>
                <w:szCs w:val="16"/>
              </w:rPr>
            </w:pPr>
            <w:r>
              <w:t>ஏதுமில்லை</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சோதனைகளின் வழியே சகிப்புத்தன்மை கிறிஸ்துவுக்குப் பிரியமளிக்கிறது.</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பெர்கமோஸ்</w:t>
            </w:r>
          </w:p>
        </w:tc>
        <w:tc>
          <w:tcPr>
            <w:tcW w:w="0" w:type="auto"/>
            <w:vAlign w:val="center"/>
            <w:hideMark/>
          </w:tcPr>
          <w:p w14:paraId="4B0101DD" w14:textId="77777777" w:rsidR="00882026" w:rsidRPr="00882026" w:rsidRDefault="00882026" w:rsidP="00882026">
            <w:pPr>
              <w:rPr>
                <w:sz w:val="16"/>
                <w:szCs w:val="16"/>
              </w:rPr>
            </w:pPr>
            <w:r>
              <w:t>சாத்தானின் கோட்டையில் நிலைநிறுத்தப்பட்ட</w:t>
            </w:r>
          </w:p>
        </w:tc>
        <w:tc>
          <w:tcPr>
            <w:tcW w:w="0" w:type="auto"/>
            <w:vAlign w:val="center"/>
            <w:hideMark/>
          </w:tcPr>
          <w:p w14:paraId="00B15833" w14:textId="77777777" w:rsidR="00882026" w:rsidRPr="00882026" w:rsidRDefault="00882026" w:rsidP="00882026">
            <w:pPr>
              <w:rPr>
                <w:sz w:val="16"/>
                <w:szCs w:val="16"/>
              </w:rPr>
            </w:pPr>
            <w:r>
              <w:t>பாலாம்/நிக்கோலாயித்த போதனைகளை (விக்கிரக வழிபாடு மற்றும் ஒழுக்கக்கேடு) சகித்துக்கொண்டது</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தவறான போதனையுடன் சமரசம் செய்துகொள்வது புளிப்பு மாவு போல பரவுகிறது.</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தியதிரா</w:t>
            </w:r>
          </w:p>
        </w:tc>
        <w:tc>
          <w:tcPr>
            <w:tcW w:w="0" w:type="auto"/>
            <w:vAlign w:val="center"/>
            <w:hideMark/>
          </w:tcPr>
          <w:p w14:paraId="7C8335DD" w14:textId="77777777" w:rsidR="00882026" w:rsidRPr="00882026" w:rsidRDefault="00882026" w:rsidP="00882026">
            <w:pPr>
              <w:rPr>
                <w:sz w:val="16"/>
                <w:szCs w:val="16"/>
              </w:rPr>
            </w:pPr>
            <w:r>
              <w:t>அன்பு, சேவை, வளர்ச்சிப் பணிகள்</w:t>
            </w:r>
          </w:p>
        </w:tc>
        <w:tc>
          <w:tcPr>
            <w:tcW w:w="0" w:type="auto"/>
            <w:vAlign w:val="center"/>
            <w:hideMark/>
          </w:tcPr>
          <w:p w14:paraId="50B64E1A" w14:textId="77777777" w:rsidR="00882026" w:rsidRPr="00882026" w:rsidRDefault="00882026" w:rsidP="00882026">
            <w:pPr>
              <w:rPr>
                <w:sz w:val="16"/>
                <w:szCs w:val="16"/>
              </w:rPr>
            </w:pPr>
            <w:r>
              <w:t>&amp;quot;யேசபேல்&amp;quot; (பாலியல் வணக்கங்கள், விக்கிரக வழிபாடு, சாத்தானின் ஆழமான காரியங்கள்) பொறுத்துக்கொள்ளப்பட்டது.</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ஒழுக்கக்கேடு/கொள்கையைச் சகித்துக்கொள்வது முழு உடலையும் அச்சுறுத்துகிறது.</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சார்டிஸ்</w:t>
            </w:r>
          </w:p>
        </w:tc>
        <w:tc>
          <w:tcPr>
            <w:tcW w:w="0" w:type="auto"/>
            <w:vAlign w:val="center"/>
            <w:hideMark/>
          </w:tcPr>
          <w:p w14:paraId="3759AAEE" w14:textId="77777777" w:rsidR="00882026" w:rsidRPr="00882026" w:rsidRDefault="00882026" w:rsidP="00882026">
            <w:pPr>
              <w:rPr>
                <w:sz w:val="16"/>
                <w:szCs w:val="16"/>
              </w:rPr>
            </w:pPr>
            <w:r>
              <w:t>சில விசுவாசமான பெயர்கள் எஞ்சியுள்ளன.</w:t>
            </w:r>
          </w:p>
        </w:tc>
        <w:tc>
          <w:tcPr>
            <w:tcW w:w="0" w:type="auto"/>
            <w:vAlign w:val="center"/>
            <w:hideMark/>
          </w:tcPr>
          <w:p w14:paraId="05FF4E65" w14:textId="77777777" w:rsidR="00882026" w:rsidRPr="00882026" w:rsidRDefault="00882026" w:rsidP="00882026">
            <w:pPr>
              <w:rPr>
                <w:sz w:val="16"/>
                <w:szCs w:val="16"/>
              </w:rPr>
            </w:pPr>
            <w:r>
              <w:t>ஆன்மீக ரீதியாக இறந்தவர் (நெக்ரோஸ்); முழுமையற்ற படைப்புகள்; புகழை நம்பி வாழ்ந்தவர்.</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நிகழ்கால வாழ்க்கை இல்லாத கடந்தகாலப் பெருமை தீர்ப்புக்கு வழிவகுக்கிறது.</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பிலடெல்பியா</w:t>
            </w:r>
          </w:p>
        </w:tc>
        <w:tc>
          <w:tcPr>
            <w:tcW w:w="0" w:type="auto"/>
            <w:vAlign w:val="center"/>
            <w:hideMark/>
          </w:tcPr>
          <w:p w14:paraId="79A18671" w14:textId="77777777" w:rsidR="00882026" w:rsidRPr="00882026" w:rsidRDefault="00882026" w:rsidP="00882026">
            <w:pPr>
              <w:rPr>
                <w:sz w:val="16"/>
                <w:szCs w:val="16"/>
              </w:rPr>
            </w:pPr>
            <w:r>
              <w:t>குறைந்த பலத்திலும் கிறிஸ்துவின் வார்த்தையைக் கைக்கொண்டார்</w:t>
            </w:r>
          </w:p>
        </w:tc>
        <w:tc>
          <w:tcPr>
            <w:tcW w:w="0" w:type="auto"/>
            <w:vAlign w:val="center"/>
            <w:hideMark/>
          </w:tcPr>
          <w:p w14:paraId="44AFA86B" w14:textId="77777777" w:rsidR="00882026" w:rsidRPr="00882026" w:rsidRDefault="00882026" w:rsidP="00882026">
            <w:pPr>
              <w:rPr>
                <w:sz w:val="16"/>
                <w:szCs w:val="16"/>
              </w:rPr>
            </w:pPr>
            <w:r>
              <w:t>ஏதுமில்லை</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கடவுளைச் சார்ந்திருக்கும் விசுவாசம் கதவுகளைத் திறக்கிறது.</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லவோதிக்கேயா</w:t>
            </w:r>
          </w:p>
        </w:tc>
        <w:tc>
          <w:tcPr>
            <w:tcW w:w="0" w:type="auto"/>
            <w:vAlign w:val="center"/>
            <w:hideMark/>
          </w:tcPr>
          <w:p w14:paraId="32970A9C" w14:textId="77777777" w:rsidR="00882026" w:rsidRPr="00882026" w:rsidRDefault="00882026" w:rsidP="00882026">
            <w:pPr>
              <w:rPr>
                <w:sz w:val="16"/>
                <w:szCs w:val="16"/>
              </w:rPr>
            </w:pPr>
            <w:r>
              <w:t>ஏதுமில்லை</w:t>
            </w:r>
          </w:p>
        </w:tc>
        <w:tc>
          <w:tcPr>
            <w:tcW w:w="0" w:type="auto"/>
            <w:vAlign w:val="center"/>
            <w:hideMark/>
          </w:tcPr>
          <w:p w14:paraId="677EC86E" w14:textId="77777777" w:rsidR="00882026" w:rsidRPr="00882026" w:rsidRDefault="00882026" w:rsidP="00882026">
            <w:pPr>
              <w:rPr>
                <w:sz w:val="16"/>
                <w:szCs w:val="16"/>
              </w:rPr>
            </w:pPr>
            <w:r>
              <w:t>வெதுவெதுப்பான (க்லியாரோஸ்), தன்னிறைவு பெற்ற; வெளியே துப்பப்படும் அபாயம் உள்ளது</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மனநிறைவும் தன்னிறைவும் கிறிஸ்துவுக்கு அருவருப்பானவை.</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ஒட்டுமொத்தமாக</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(சராசரி)</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கலவையான பதிவுகள் மனந்திரும்புதலையும் (மெட்டானோசன்) விழிப்புணர்வையும் வலியுறுத்துகின்றன.</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