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C028" w14:textId="77777777" w:rsidR="00EF3A4E" w:rsidRDefault="00EF3A4E" w:rsidP="00EF3A4E">
      <w:pPr>
        <w:pStyle w:val="Title"/>
      </w:pPr>
      <w:r>
        <w:t>Послание к церкви в Сардисе: протестантские доктрины в сравнении с греческим языком Нового Завета.</w:t>
      </w:r>
    </w:p>
    <w:p w14:paraId="7BB40912" w14:textId="77777777" w:rsidR="00EF3A4E" w:rsidRDefault="00EF3A4E" w:rsidP="00EF3A4E">
      <w:pPr>
        <w:pStyle w:val="Subtitle"/>
      </w:pPr>
      <w:r>
        <w:t>Рассмотрение протестантских принципов через призму библейских противоречий</w:t>
      </w:r>
    </w:p>
    <w:p w14:paraId="69F92AD7" w14:textId="77777777" w:rsidR="00EF3A4E" w:rsidRDefault="00EF3A4E" w:rsidP="00EF3A4E">
      <w:r>
        <w:t>В книге Откровения Иисус обращается к семи церквям в Малой Азии, выражая им похвалу, обличения и призывая к покаянию в зависимости от их духовного состояния. Среди них церковь в Сардисе особенно подходит для анализа протестантских доктрин в свете противоречий Нового Завета. Иисус говорит Сардису в Откровении 3: 1-3 (по-гречески: «Καὶ τῷ ἀγγέλῳ τῆς ἐν Σάρδεσιν ἐκκλησίας γράψον· Τάδε λέγει ὁ ἔχων τὰ ἑπτὰ πνεύματα τοῦ θεοῦ καὶ τοὺς ἑπτὰ ἀστέρας· οἶδά σου τὰ ἔργα ὅτι ὄνομα ἔχεις ὅτι ζῇς, καὶ νεκρὸς εἶ. γίνου γρηγορῶν καὶ στήρισον τὰ λοιπὰ ἃ ἔμελλον ἀποθανεῖν· οὐ γὰρ εὕρηκά σου τὰ ἔργα πεπληρωμένα ἐνώπιον τοῦ θεοῦ μου. μνημόνευε οὖν πῶς εἴληφας καὶ ἤκουσας καὶ τήρει καὶ μετανόησον.&amp;quot; – Дословный перевод: «И ангелу церкви в Сардисе напиши: так говорит тот, кто имеет семь духов Божиих и семь звезд: Я знаю дела твои, имя твое, что ты живешь, а мертв ты. Бодрствуй и укрепи оставшихся, которые вот-вот умрут; ибо не нашел я дел твоих совершенными пред Богом Моим. Вспомни же, как ты принял, и услышал, и сохрани, и покайся».</w:t>
      </w:r>
    </w:p>
    <w:p w14:paraId="7637B7F7" w14:textId="77777777" w:rsidR="00EF3A4E" w:rsidRDefault="00EF3A4E" w:rsidP="00EF3A4E">
      <w:r>
        <w:t>Этот упрек указывает на церковь, имеющую «имя» (ὄνομα) или репутацию живой (ζῇς), но духовно мертвой (νεκρὸς), с незавершенными делами (ἔργα) (οὐ... πεπληρωμένα – не завершенными/не исполненными). Протестантизм, с его акцентом на реформу, принцип sola scriptura и веру только в себя, часто имеет репутацию верности Библии и живой веры. Однако выявленные ниже текстовые противоречия – взятые исключительно из греческого Нового Завета – указывают на области, где доктрины могут казаться прочными, но не соответствовать полному библейскому свидетельству, подобно незавершенным делам Сардиса. Это призывает к воспоминанию о том, что было «принято и услышано» (εἴληφας καὶ ἤκουσας), бдительности (γρηγορῶν) и покаянию (μετανόησον), чтобы укрепить то, что осталось. Далее анализ систематизируется и упорядочивается в единый документ, фокусируясь на ключевых протестантских доктринах и их противоречиях с текстами Нового Завета, с включением дополнительных противоречий для полноты, включая те, которые были вдохновлены работами Мартина Лютера (например, рабство воли, оправдание одной лишь верой), Джона Кальвина (например, ограниченное искупление, безусловное избрание) и других реформаторов, таких как Ульрих Цвингли (символические таинства) и Джон Нокс (акцент на предопределении).</w:t>
      </w:r>
    </w:p>
    <w:p w14:paraId="5A947C89" w14:textId="77777777" w:rsidR="00EF3A4E" w:rsidRDefault="00EF3A4E" w:rsidP="00EF3A4E">
      <w:pPr>
        <w:pStyle w:val="Heading1"/>
      </w:pPr>
      <w:r>
        <w:t>Основные протестантские доктрины и текстовые противоречия в греческом языке Нового Завета</w:t>
      </w:r>
    </w:p>
    <w:p w14:paraId="639E4F4F" w14:textId="77777777" w:rsidR="00EF3A4E" w:rsidRDefault="00EF3A4E" w:rsidP="00EF3A4E">
      <w:r>
        <w:t>Протестантизм включает в себя различные ветви, но в центре его внимания находятся такие принципы, как «Пять принципов Солы». В этом разделе эти принципы рассматриваются в контексте греческих текстов Нового Завета, подчеркивая как подтверждения, так и противоречия, основанные исключительно на формулировках, грамматике и структуре.</w:t>
      </w:r>
    </w:p>
    <w:p w14:paraId="0C0E0022" w14:textId="77777777" w:rsidR="00EF3A4E" w:rsidRDefault="00EF3A4E" w:rsidP="00EF3A4E">
      <w:pPr>
        <w:pStyle w:val="Heading2"/>
      </w:pPr>
      <w:r>
        <w:t>1. Sola Fide (Оправдание только верой) – принцип, подчеркиваемый Лютером.</w:t>
      </w:r>
    </w:p>
    <w:p w14:paraId="7286D9F4" w14:textId="77777777" w:rsidR="00EF3A4E" w:rsidRDefault="00EF3A4E" w:rsidP="00EF3A4E">
      <w:r>
        <w:t>Эта доктрина, занимающая центральное место в богословии Лютера (например, в его комментариях к Посланиям к Римлянам и Галатам), постулирует оправдание исключительно верой, без участия дел.</w:t>
      </w:r>
    </w:p>
    <w:p w14:paraId="715E1048" w14:textId="77777777" w:rsidR="00EF3A4E" w:rsidRDefault="00EF3A4E" w:rsidP="00EF3A4E">
      <w:r>
        <w:t>Поддерживающий текст: Ефесянам 2:8-9 – «τῇ γὰρ χάριτί ἐστε σεσῳσμένοι διὰ πίστεως· καὶ τοῦτο οὐκ ἐξ ὑμῶν, θεοῦ τὸ δῶρον· οὐκ ἐξ ἔργων, ἵνα μή τις καυχήσηται». (Благодатью вы спасены через веру... а не от дел.)</w:t>
      </w:r>
    </w:p>
    <w:p w14:paraId="64BB5A49" w14:textId="77777777" w:rsidR="00EF3A4E" w:rsidRDefault="00EF3A4E" w:rsidP="00EF3A4E">
      <w:r>
        <w:t>Противоречие: Иакова 2:24 – «ὁρᾶτε ὅτι ἐξ ἔργων δικαιοῦται ἄνθρωπος καὶ οὐκ ἐκ πίστεως μόνον». (Человек оправдывается делами, а не только верой.) Иаков использует слово «μόνον», чтобы отрицать изолированную веру, а в 2:21–22 показано, что вера «совершена» (ἐτελειώθη) делами.</w:t>
      </w:r>
    </w:p>
    <w:p w14:paraId="4AE17959" w14:textId="57C6AC52" w:rsidR="00EF3A4E" w:rsidRDefault="001D219D" w:rsidP="00EF3A4E">
      <w:pPr>
        <w:pStyle w:val="Heading2"/>
      </w:pPr>
      <w:r>
        <w:t>2. Крещение как символическое таинство (не возрождающее) – точка зрения реформаторов различается (например, символическая точка зрения Цвингли).</w:t>
      </w:r>
    </w:p>
    <w:p w14:paraId="08244CDD" w14:textId="77777777" w:rsidR="00EF3A4E" w:rsidRDefault="00EF3A4E" w:rsidP="00EF3A4E">
      <w:r>
        <w:t>Лютер и Кальвин рассматривали крещение как передачу благодати (особенно для младенцев), но многие протестанты (под влиянием Цвингли) воспринимают его символически.</w:t>
      </w:r>
    </w:p>
    <w:p w14:paraId="32889231" w14:textId="77777777" w:rsidR="00EF3A4E" w:rsidRDefault="00EF3A4E" w:rsidP="00EF3A4E">
      <w:r>
        <w:t>Поддерживающий текст: Римлянам 6:3-4 – «ὅσοι ἐβαπτίσθημεν εἰς Χριστὸν Ἰησοῦν εἰς τὸν θάνατον αὐτοῦ ἐβαπτίσθημεν...» (Крещение в его смерть... символизирующее союз.)</w:t>
      </w:r>
    </w:p>
    <w:p w14:paraId="78C8DB09" w14:textId="77777777" w:rsidR="00EF3A4E" w:rsidRDefault="00EF3A4E" w:rsidP="00EF3A4E">
      <w:r>
        <w:t>Противоречия:</w:t>
      </w:r>
    </w:p>
    <w:p w14:paraId="6D8A20A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Деяния 2:38 – «βαπτισθήτω ἕκαστος... εἰς ἄφεσιν τῶν ἁμαρτιῶν». (Креститься для прощения грехов.)</w:t>
      </w:r>
    </w:p>
    <w:p w14:paraId="3BC8EC9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Титу 3:5 – «ἔσωσεν ἡμᾶς διὰ λουτροῦ παλιγγενεσίας καὶ ἀνακαινώσεως πνεύματος ἁγίου». (Спасены через омовение возрождения и обновления Святым Духом.)</w:t>
      </w:r>
    </w:p>
    <w:p w14:paraId="060E0DCA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1 Петра 3:21 – «νῦν σῴζει βάπτισμα…» (Крещение ныне спасает… как прообраз.)</w:t>
      </w:r>
    </w:p>
    <w:p w14:paraId="7E38224B" w14:textId="77777777" w:rsidR="00EF3A4E" w:rsidRDefault="00EF3A4E" w:rsidP="00EF3A4E">
      <w:r>
        <w:t>Обращение к предлагаемой резолюции: «Διὰ» связывает согласованные фразы («омовение возрождения и обновления»), не приравнивая их; структура представляет собой отдельные элементы.</w:t>
      </w:r>
    </w:p>
    <w:p w14:paraId="77C3C148" w14:textId="19E7BB5F" w:rsidR="00EF3A4E" w:rsidRDefault="001D219D" w:rsidP="00EF3A4E">
      <w:pPr>
        <w:pStyle w:val="Heading2"/>
      </w:pPr>
      <w:r>
        <w:t>3. Стойкость святых (Однажды спасенный – всегда спасенный) – ключевой момент в богословии Кальвина.</w:t>
      </w:r>
    </w:p>
    <w:p w14:paraId="42B8B0F9" w14:textId="77777777" w:rsidR="00EF3A4E" w:rsidRDefault="00EF3A4E" w:rsidP="00EF3A4E">
      <w:r>
        <w:t>Кальвин учил, что избранные пребывают вечно.</w:t>
      </w:r>
    </w:p>
    <w:p w14:paraId="78004251" w14:textId="77777777" w:rsidR="00EF3A4E" w:rsidRDefault="00EF3A4E" w:rsidP="00EF3A4E">
      <w:r>
        <w:t>Поддерживающий текст: Римлянам 8:38-39 – «οὔτε θάνατος οὔτε ζωὴ... δυνήσεται ἡμᾶς χωρίσαι…» (Ничто не может отлучить нас от Божьей любви.)</w:t>
      </w:r>
    </w:p>
    <w:p w14:paraId="3CD7F963" w14:textId="77777777" w:rsidR="00EF3A4E" w:rsidRDefault="00EF3A4E" w:rsidP="00EF3A4E">
      <w:r>
        <w:t>Противоречие: Евреям 6:4-6 – «ἀδύνατον… τοὺς ἅπαξ φωτισθέντας… καὶ παραπεσόντας πάλιν ἀνακαινίζειν…» (Невозможно обновить тех, кто просветлен, но отпал.)</w:t>
      </w:r>
    </w:p>
    <w:p w14:paraId="22CD9BCA" w14:textId="6550D7C0" w:rsidR="00EF3A4E" w:rsidRDefault="001D219D" w:rsidP="00EF3A4E">
      <w:pPr>
        <w:pStyle w:val="Heading2"/>
      </w:pPr>
      <w:r>
        <w:t>4. Вечеря Господня как простой символ – аргумент Цвингли.</w:t>
      </w:r>
    </w:p>
    <w:p w14:paraId="31CCD878" w14:textId="77777777" w:rsidR="00EF3A4E" w:rsidRDefault="00EF3A4E" w:rsidP="00EF3A4E">
      <w:r>
        <w:t>Лютер придерживался принципа консубстанциации, но Цвингли и многие протестанты рассматривают его как чисто символический.</w:t>
      </w:r>
    </w:p>
    <w:p w14:paraId="762827D7" w14:textId="77777777" w:rsidR="00EF3A4E" w:rsidRDefault="00EF3A4E" w:rsidP="00EF3A4E">
      <w:r>
        <w:t>Поддерживающий текст: 1 Коринфянам 11:24-25 – «τοῦτο ποιεῖτε εἰς τὴν ἐμὴν ἀνάμνησιν». (Сделайте это для моей памяти.)</w:t>
      </w:r>
    </w:p>
    <w:p w14:paraId="1D7180D3" w14:textId="77777777" w:rsidR="00EF3A4E" w:rsidRDefault="00EF3A4E" w:rsidP="00EF3A4E">
      <w:r>
        <w:t>Противоречия:</w:t>
      </w:r>
    </w:p>
    <w:p w14:paraId="7676D50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Иоанна 6:53-56 – «ἐὰν μὴ φάγητε τὴν σάρκα... ὁ τρώγων μου τὴν σάρκα… ἐν ἐμοὶ μένει». (Если не съешь плоть... грызущий пребудет во мне.)</w:t>
      </w:r>
    </w:p>
    <w:p w14:paraId="63C5324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1 Коринфянам 11:27-29 – «ἔνοχος ἔσται τοῦ σώματος καὶ τοῦ αἵματος... κρίμα ἑαυτῷ ἐσθίει». (Виновен в теле и крови... ест осуждение.)</w:t>
      </w:r>
    </w:p>
    <w:p w14:paraId="0E931A0E" w14:textId="4FCD0DF3" w:rsidR="00EF3A4E" w:rsidRDefault="001D219D" w:rsidP="00EF3A4E">
      <w:pPr>
        <w:pStyle w:val="Heading2"/>
      </w:pPr>
      <w:r>
        <w:t>5. Исповедание непосредственно перед одним лишь Богом – распространенное явление в протестантской мысли.</w:t>
      </w:r>
    </w:p>
    <w:p w14:paraId="2D8D9664" w14:textId="77777777" w:rsidR="00EF3A4E" w:rsidRDefault="00EF3A4E" w:rsidP="00EF3A4E">
      <w:r>
        <w:t>Реформаторы, такие как Лютер, отвергали исповедь священникам.</w:t>
      </w:r>
    </w:p>
    <w:p w14:paraId="10DF0050" w14:textId="77777777" w:rsidR="00EF3A4E" w:rsidRDefault="00EF3A4E" w:rsidP="00EF3A4E">
      <w:r>
        <w:t>Поддерживающий текст: 1 Иоанна 1:9 – «ἐὰν ὁμολογῶμεν τὰς ἁμαρτίας ἡμῶν... ἀφῇ ἡμῖν». (Если исповедуемся... он прощает.)</w:t>
      </w:r>
    </w:p>
    <w:p w14:paraId="6816ED13" w14:textId="77777777" w:rsidR="00EF3A4E" w:rsidRDefault="00EF3A4E" w:rsidP="00EF3A4E">
      <w:r>
        <w:t>Противоречия:</w:t>
      </w:r>
    </w:p>
    <w:p w14:paraId="4BB69E58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Иакова 5:16 – «ἐξομολογεῖσθε ἀλλήλοις τὰς ἁμαρτίας». (Признайтесь друг другу.)</w:t>
      </w:r>
    </w:p>
    <w:p w14:paraId="605DB6AE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Иоанна 20:23 – «ἄν τινων ἀφῆτε τὰς ἁμαρτίας ἀφέωνται αὐτοῖς». (Если вы простите... они будут прощены.)</w:t>
      </w:r>
    </w:p>
    <w:p w14:paraId="721B0357" w14:textId="0D6D0E1F" w:rsidR="00EF3A4E" w:rsidRDefault="001D219D" w:rsidP="00EF3A4E">
      <w:pPr>
        <w:pStyle w:val="Heading2"/>
      </w:pPr>
      <w:r>
        <w:t>6. Страшный суд не основан на делах – он связан исключительно с верой Лютера.</w:t>
      </w:r>
    </w:p>
    <w:p w14:paraId="181F9DE2" w14:textId="77777777" w:rsidR="00EF3A4E" w:rsidRDefault="00EF3A4E" w:rsidP="00EF3A4E">
      <w:r>
        <w:t>В суде Лютер отдавал предпочтение вере, а не делам.</w:t>
      </w:r>
    </w:p>
    <w:p w14:paraId="62B24B8D" w14:textId="77777777" w:rsidR="00EF3A4E" w:rsidRDefault="00EF3A4E" w:rsidP="00EF3A4E">
      <w:r>
        <w:t>Поддерживающий текст: Римлянам 3:28 – «δικαιοῦσθαι πίστει ἄνθρωπον χωρὶς ἔργων νόμου». (Оправдан верой, независимо от дел закона.)</w:t>
      </w:r>
    </w:p>
    <w:p w14:paraId="42234F59" w14:textId="77777777" w:rsidR="00EF3A4E" w:rsidRDefault="00EF3A4E" w:rsidP="00EF3A4E">
      <w:r>
        <w:t>Противоречие: Матфея 25:31-46 – «ἐπείνασα γὰρ καὶ ἐδώκατέ μοι φαγεῖν... ἐφ᾽ ὅσον ἐποιήσατε...» (Я алкал, и Ты дал... поскольку Ты делал.)</w:t>
      </w:r>
    </w:p>
    <w:p w14:paraId="12118169" w14:textId="02E0E152" w:rsidR="00EF3A4E" w:rsidRDefault="001D219D" w:rsidP="00EF3A4E">
      <w:pPr>
        <w:pStyle w:val="Heading2"/>
      </w:pPr>
      <w:r>
        <w:t>7. Священство всех верующих (отсутствие иерархического духовенства) – акцент Лютера.</w:t>
      </w:r>
    </w:p>
    <w:p w14:paraId="4F97D154" w14:textId="77777777" w:rsidR="00EF3A4E" w:rsidRDefault="00EF3A4E" w:rsidP="00EF3A4E">
      <w:r>
        <w:t>Лютер учил, что все верующие — священники, принижая роль духовенства.</w:t>
      </w:r>
    </w:p>
    <w:p w14:paraId="0F36EEBC" w14:textId="77777777" w:rsidR="00EF3A4E" w:rsidRDefault="00EF3A4E" w:rsidP="00EF3A4E">
      <w:r>
        <w:t>Поддерживающий текст: 1 Петра 2:9 – «βασίλειον ἱεράτευμα...» (Царственное священство).</w:t>
      </w:r>
    </w:p>
    <w:p w14:paraId="36526960" w14:textId="77777777" w:rsidR="00EF3A4E" w:rsidRDefault="00EF3A4E" w:rsidP="00EF3A4E">
      <w:r>
        <w:t>Противоречия:</w:t>
      </w:r>
    </w:p>
    <w:p w14:paraId="0FA050EB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1 Тимофею 5:17 – «οἱ καλῶς προεστῶτες πρεσβύτεροι διπλῆς τιμῆς...» (Правящие старейшины, достойные двойной чести.)</w:t>
      </w:r>
    </w:p>
    <w:p w14:paraId="3F3611F8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Деяния 14:23 – «χειροτονήσαντες... πρεσβυτέρους». (Назначенные/рукоположенные старейшины.)</w:t>
      </w:r>
    </w:p>
    <w:p w14:paraId="69A7A982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2 Тимофею 1:6 – «διὰ τῆς ἐπιθέσεως τῶν χειρῶν...» (Дар через возложение рук.)</w:t>
      </w:r>
    </w:p>
    <w:p w14:paraId="5D6755CE" w14:textId="4F302258" w:rsidR="00EF3A4E" w:rsidRDefault="001D219D" w:rsidP="00EF3A4E">
      <w:pPr>
        <w:pStyle w:val="Heading2"/>
      </w:pPr>
      <w:r>
        <w:t>8. Символическое помазание больных – соответствует некоторым протестантским взглядам.</w:t>
      </w:r>
    </w:p>
    <w:p w14:paraId="5A215DA4" w14:textId="77777777" w:rsidR="00EF3A4E" w:rsidRDefault="00EF3A4E" w:rsidP="00EF3A4E">
      <w:r>
        <w:t>Исцеление через молитву, отказ от физических обрядов.</w:t>
      </w:r>
    </w:p>
    <w:p w14:paraId="6E6C565B" w14:textId="77777777" w:rsidR="00EF3A4E" w:rsidRDefault="00EF3A4E" w:rsidP="00EF3A4E">
      <w:r>
        <w:t>Поддерживающий текст: Иакова 5:15 (частично) – «ἡ εὐχὴ τῆς πίστεως σώσει...» (Молитва веры спасет).</w:t>
      </w:r>
    </w:p>
    <w:p w14:paraId="4BE269C8" w14:textId="77777777" w:rsidR="00EF3A4E" w:rsidRDefault="00EF3A4E" w:rsidP="00EF3A4E">
      <w:r>
        <w:t>Противоречие: Иакова 5:14-15 – «προσευξάσθωσαν ἐπ᾽ αὐτὸν ἀλείψαντες αὐτὸν ἐλαίῳ... ἀφεθήσεται αὐτῷ». (Помолитесь о нем, помазавшем елеем... грехи прощены.)</w:t>
      </w:r>
    </w:p>
    <w:p w14:paraId="1AC2B63A" w14:textId="1A59FB9C" w:rsidR="00EF3A4E" w:rsidRDefault="001D219D" w:rsidP="00EF3A4E">
      <w:pPr>
        <w:pStyle w:val="Heading2"/>
      </w:pPr>
      <w:r>
        <w:t>9. Прекращение дарования духовных даров – практика, которую разделяли некоторые реформаторы, например, Нокс.</w:t>
      </w:r>
    </w:p>
    <w:p w14:paraId="137E188C" w14:textId="77777777" w:rsidR="00EF3A4E" w:rsidRDefault="00EF3A4E" w:rsidP="00EF3A4E">
      <w:r>
        <w:t>Чудотворные дары перестали существовать после апостолов.</w:t>
      </w:r>
    </w:p>
    <w:p w14:paraId="349AB9CB" w14:textId="77777777" w:rsidR="00EF3A4E" w:rsidRDefault="00EF3A4E" w:rsidP="00EF3A4E">
      <w:r>
        <w:t>Подтверждающий текст: 1 Коринфянам 13:8-10 – «προφητεῖαι καταργηθήσονται… ὅταν ἔλθῃ τὸ τέλειον…» (Пророчества прекратятся, когда придет совершенное.)</w:t>
      </w:r>
    </w:p>
    <w:p w14:paraId="5337CBEF" w14:textId="77777777" w:rsidR="00EF3A4E" w:rsidRDefault="00EF3A4E" w:rsidP="00EF3A4E">
      <w:r>
        <w:t>Противоречия:</w:t>
      </w:r>
    </w:p>
    <w:p w14:paraId="2C6CE06C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1 Коринфянам 14:1, 39 – «ζηλοῦτε... τὸ προφητεύειν καὶ τὸ λαλεῖν μὴ κωλύετε γλώσσαις». (Будьте ревностны пророчествовать... не запрещайте языков.)</w:t>
      </w:r>
    </w:p>
    <w:p w14:paraId="483DE90B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Ефесянам 4:11-13 – «ἔδωκεν… προφήτας… μέχρι καταντήσωμεν…» (Дал пророкам… пока не достигнем единства.)</w:t>
      </w:r>
    </w:p>
    <w:p w14:paraId="716B8E10" w14:textId="3950F57D" w:rsidR="00EF3A4E" w:rsidRDefault="00EF3A4E" w:rsidP="00EF3A4E">
      <w:pPr>
        <w:pStyle w:val="Heading2"/>
      </w:pPr>
      <w:r>
        <w:t>10. Полная порочность (неспособность человека искать Бога без благодати) – ключевой принцип концепции TULIP Кальвина.</w:t>
      </w:r>
    </w:p>
    <w:p w14:paraId="2EB527EB" w14:textId="77777777" w:rsidR="00EF3A4E" w:rsidRDefault="00EF3A4E" w:rsidP="00EF3A4E">
      <w:r>
        <w:t>Кальвин учил о полной неспособности достичь цели из-за греха.</w:t>
      </w:r>
    </w:p>
    <w:p w14:paraId="295A269D" w14:textId="77777777" w:rsidR="00EF3A4E" w:rsidRDefault="00EF3A4E" w:rsidP="00EF3A4E">
      <w:r>
        <w:t>Поддерживающий текст: Римлянам 3:10-11 – «οὐκ ἔστιν δίκαιος οὐδὲ εἷς... οὐκ ἔστιν ὁ ἐκζητῶν τὸν θεόν». (Ни один праведный... никто не ищущий Бога.)</w:t>
      </w:r>
    </w:p>
    <w:p w14:paraId="6563238C" w14:textId="77777777" w:rsidR="00EF3A4E" w:rsidRDefault="00EF3A4E" w:rsidP="00EF3A4E">
      <w:r>
        <w:t>Противоречие: Деяния 17:27 – «ζητεῖν τὸν θεόν, εἰ ἄρα γε ψηλαφήσαιεν αὐτὸν καὶ εὕροιεν...» (Искать Бога, если, возможно, они смогут нащупать Его и найти...) Подразумевается способность искать («ζητεῖν») с «εὕροιεν» (найти) как потенциальный результат.</w:t>
      </w:r>
    </w:p>
    <w:p w14:paraId="00476B51" w14:textId="37A5D556" w:rsidR="00EF3A4E" w:rsidRDefault="00EF3A4E" w:rsidP="00EF3A4E">
      <w:pPr>
        <w:pStyle w:val="Heading2"/>
      </w:pPr>
      <w:r>
        <w:t>11. Предопределение/Безусловное избрание (без участия человека) – В центре внимания Кальвина и Нокса</w:t>
      </w:r>
    </w:p>
    <w:p w14:paraId="2EF2FAB8" w14:textId="77777777" w:rsidR="00EF3A4E" w:rsidRDefault="00EF3A4E" w:rsidP="00EF3A4E">
      <w:r>
        <w:t>Бог избирает безусловно, как это описано в «Институтах» Кальвина.</w:t>
      </w:r>
    </w:p>
    <w:p w14:paraId="5A7D89B8" w14:textId="77777777" w:rsidR="00EF3A4E" w:rsidRDefault="00EF3A4E" w:rsidP="00EF3A4E">
      <w:r>
        <w:t>Поддерживающий текст: Ефесянам 1:4-5 – «ἐξελέξατο ἡμᾶς ἐν αὐτῷ πρὸ καταβολῆς κόσμου... προορίσας ἡμᾶς εἰς υἱοθεσίαν.&amp;quot; (Выбрали нас прежде, чем основать... предназначить для усыновления.)</w:t>
      </w:r>
    </w:p>
    <w:p w14:paraId="51DD4F32" w14:textId="77777777" w:rsidR="00EF3A4E" w:rsidRDefault="00EF3A4E" w:rsidP="00EF3A4E">
      <w:r>
        <w:t>Противоречие: 2 Петра 1:10 – «μᾶλλον, ἀδελφοί, σπουδάσατε βεβαίαν ὑμῶν τὴν κλῆσιν καὶ ἐκλογὴν ποιεῖσθαι...» (Старайтесь сделать свое призвание и избрание уверенным...) «Ποιεῖσθαι» (сделать) предполагает человеческое действие по утверждению «ἐκλογὴν» (избрания).</w:t>
      </w:r>
    </w:p>
    <w:p w14:paraId="27AB256A" w14:textId="4C60862B" w:rsidR="00EF3A4E" w:rsidRDefault="00EF3A4E" w:rsidP="00EF3A4E">
      <w:pPr>
        <w:pStyle w:val="Heading2"/>
      </w:pPr>
      <w:r>
        <w:t>12. Рабство воли (отсутствие свободы воли в спасении) – доктрина Лютера в его знаменитом труде.</w:t>
      </w:r>
    </w:p>
    <w:p w14:paraId="259D62D1" w14:textId="77777777" w:rsidR="00EF3A4E" w:rsidRDefault="00EF3A4E" w:rsidP="00EF3A4E">
      <w:r>
        <w:t>В своей работе «Рабство воли» Лютер утверждал, что из-за греха человек лишён свободы воли в процессе спасения.</w:t>
      </w:r>
    </w:p>
    <w:p w14:paraId="64A74AA4" w14:textId="77777777" w:rsidR="00EF3A4E" w:rsidRDefault="00EF3A4E" w:rsidP="00EF3A4E">
      <w:r>
        <w:t>Поддерживающий текст: Римлянам 7:18 – «οἶδα γὰρ ὅτι οὐκ οἰκεῖ ἐν ἐμοί, τοῦτ᾽ ἔστιν ἐν τῇ σαρκί μου, ἀγαθόν· τὸ γὰρ θέλειν παράκειταί μοι, τὸ δὲ κατεργάζεσθαι τὸ καλὸν οὔ.&amp;quot; (Я знаю, что во мне, то есть в моей плоти, не обитает ничего доброго; ибо желание есть, но совершения добра нет.)</w:t>
      </w:r>
    </w:p>
    <w:p w14:paraId="2C369818" w14:textId="77777777" w:rsidR="00EF3A4E" w:rsidRDefault="00EF3A4E" w:rsidP="00EF3A4E">
      <w:r>
        <w:t>Противоречие: Филиппийцам 2:12-13 – «μετὰ φόβου καὶ τρόμου τὴν ἑαυτῶν σωτηρίαν κατεργάζεσθε· θεὸς γάρ ἐστιν ὁ ἐνεργῶν ἐν ὑμῖν καὶ τὸ θέλειν καὶ τὸ ἐνεργεῖν ὑπὲρ τῆς εὐδοκίας.&amp;quot; (Со страхом и трепетом совершайте спасение свое, ибо Бог производит в вас и хотение, и дело по Своему благоволению.) &amp;quot;Κατεργάζεσθε&amp;quot; (творить) повелевает активное человеческое участие в &amp;quot;σωτηρίαν&amp;quot; (спасение) наряду с Божьей работой.</w:t>
      </w:r>
    </w:p>
    <w:p w14:paraId="2F7C8312" w14:textId="029DF9AE" w:rsidR="00EF3A4E" w:rsidRDefault="00EF3A4E" w:rsidP="00EF3A4E">
      <w:pPr>
        <w:pStyle w:val="Heading2"/>
      </w:pPr>
      <w:r>
        <w:t>13. Ограниченное искупление (Христос умер только за избранных) – учение Кальвина</w:t>
      </w:r>
    </w:p>
    <w:p w14:paraId="4D04CFE8" w14:textId="77777777" w:rsidR="00EF3A4E" w:rsidRDefault="00EF3A4E" w:rsidP="00EF3A4E">
      <w:r>
        <w:t>Кальвин считал, что смерть Христа действенна только для избранных.</w:t>
      </w:r>
    </w:p>
    <w:p w14:paraId="067B5C68" w14:textId="77777777" w:rsidR="00EF3A4E" w:rsidRDefault="00EF3A4E" w:rsidP="00EF3A4E">
      <w:r>
        <w:t>Поддерживающий текст: Матфея 26:28 – «τοῦτο γάρ ἐστιν τὸ αἷμά μου τῆς διαθήκης τὸ περὶ πολλῶν ἐκχυννόμενον εἰς ἄφεσιν ἁμαρτιῶν.&amp;quot; (Это Моя кровь завета, пролитая за многих для прощения грехов.)</w:t>
      </w:r>
    </w:p>
    <w:p w14:paraId="7AEAFA14" w14:textId="77777777" w:rsidR="00EF3A4E" w:rsidRDefault="00EF3A4E" w:rsidP="00EF3A4E">
      <w:r>
        <w:t>Противоречие: 1 Иоанна 2:2 – «καὶ αὐτὸς ἱλασμός ἐστιν περὶ τῶν ἁμαρτιῶν ἡμῶν, οὐ περὶ τῶν ἡμετέρων δὲ μόνον ἀλλὰ καὶ περὶ ὅλου τοῦ κόσμου». (Он — умилостивление за наши грехи, и не только за наши, но и за весь мир.) &amp;quot;Ὅλου τοῦ κόσμου&amp;quot; (весь мир) простирается за пределы избранных.</w:t>
      </w:r>
    </w:p>
    <w:p w14:paraId="4143D036" w14:textId="31F1446B" w:rsidR="00EF3A4E" w:rsidRDefault="00EF3A4E" w:rsidP="00EF3A4E">
      <w:pPr>
        <w:pStyle w:val="Heading2"/>
      </w:pPr>
      <w:r>
        <w:t>14. Двойное предопределение (Бог предопределяет одних к проклятию) – подразумевается в трудах Кальвина и Нокса.</w:t>
      </w:r>
    </w:p>
    <w:p w14:paraId="479426F4" w14:textId="77777777" w:rsidR="00EF3A4E" w:rsidRDefault="00EF3A4E" w:rsidP="00EF3A4E">
      <w:r>
        <w:t>Предопределение Кальвина включает в себя порицание для тех, кто не избран.</w:t>
      </w:r>
    </w:p>
    <w:p w14:paraId="28F12A3B" w14:textId="77777777" w:rsidR="00EF3A4E" w:rsidRDefault="00EF3A4E" w:rsidP="00EF3A4E">
      <w:r>
        <w:t>Поддерживающий текст: Римлянам 9:22 – «εἰ δὲ θέλων ὁ θεὸς ἐνδείξασθαι τὴν ὀργὴν καὶ γνωρίσαι τὸ δυνατὸν αὐτοῦ ἤνεγκεν ἐν πολλῇ μακροθυμίᾳ σκεύη ὀργῆς κατηρτισμένα εἰς ἀπώλειαν.&amp;quot; (Что, если бы Бог, желая проявить гнев... претерпел сосуды гнева, приготовленные к уничтожению.)</w:t>
      </w:r>
    </w:p>
    <w:p w14:paraId="3583B4B6" w14:textId="77777777" w:rsidR="00EF3A4E" w:rsidRDefault="00EF3A4E" w:rsidP="00EF3A4E">
      <w:r>
        <w:t>Противоречие: 2 Петра 3:9 – «μὴ βουλόμενός τινας ἀπολέσθαι ἀλλὰ πάντας εἰς μετάνοιαν χωρῆσαι». (Не желая, чтобы кто-то погиб, но все приходят к покаянию.) «Μὴ βουλόμενός» (нежелание) отрицает божественное желание «τινας ἀπολέσθαι» (любой погибнуть).</w:t>
      </w:r>
    </w:p>
    <w:p w14:paraId="24970218" w14:textId="5EA9DCAD" w:rsidR="00BF450E" w:rsidRPr="00EF3A4E" w:rsidRDefault="00EF3A4E" w:rsidP="00EF3A4E">
      <w:r>
        <w:t>Этот документ раскрывает противоречия в греческом языке Нового Завета, предполагая, что протестантские акценты, хотя и носят реформаторский характер, могут оставлять доктрины неполными, что перекликается с призывом Сардиса к укреплению и покаянию.</w:t>
      </w:r>
    </w:p>
    <w:p w14:paraId="64C8277B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85"/>
    <w:multiLevelType w:val="multilevel"/>
    <w:tmpl w:val="FA5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956D2"/>
    <w:multiLevelType w:val="multilevel"/>
    <w:tmpl w:val="0DA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D699F"/>
    <w:multiLevelType w:val="hybridMultilevel"/>
    <w:tmpl w:val="82B8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9AD"/>
    <w:multiLevelType w:val="multilevel"/>
    <w:tmpl w:val="5DBC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46E4C"/>
    <w:multiLevelType w:val="multilevel"/>
    <w:tmpl w:val="2F3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A0DAB"/>
    <w:multiLevelType w:val="multilevel"/>
    <w:tmpl w:val="349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55465"/>
    <w:multiLevelType w:val="hybridMultilevel"/>
    <w:tmpl w:val="F618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1A0F"/>
    <w:multiLevelType w:val="multilevel"/>
    <w:tmpl w:val="BEB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C1E05"/>
    <w:multiLevelType w:val="hybridMultilevel"/>
    <w:tmpl w:val="A34C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7778"/>
    <w:multiLevelType w:val="multilevel"/>
    <w:tmpl w:val="0CA4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410D2F"/>
    <w:multiLevelType w:val="multilevel"/>
    <w:tmpl w:val="0F3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34FD"/>
    <w:multiLevelType w:val="multilevel"/>
    <w:tmpl w:val="349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43473"/>
    <w:multiLevelType w:val="hybridMultilevel"/>
    <w:tmpl w:val="AE32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6927"/>
    <w:multiLevelType w:val="multilevel"/>
    <w:tmpl w:val="AC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11082"/>
    <w:multiLevelType w:val="hybridMultilevel"/>
    <w:tmpl w:val="E556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67F4"/>
    <w:multiLevelType w:val="multilevel"/>
    <w:tmpl w:val="AF0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AB5066"/>
    <w:multiLevelType w:val="multilevel"/>
    <w:tmpl w:val="382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244DEA"/>
    <w:multiLevelType w:val="multilevel"/>
    <w:tmpl w:val="BFE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5D4A1E"/>
    <w:multiLevelType w:val="multilevel"/>
    <w:tmpl w:val="52F61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3A6C"/>
    <w:multiLevelType w:val="multilevel"/>
    <w:tmpl w:val="EC8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D57CAE"/>
    <w:multiLevelType w:val="multilevel"/>
    <w:tmpl w:val="C71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944421">
    <w:abstractNumId w:val="16"/>
  </w:num>
  <w:num w:numId="2" w16cid:durableId="2091584622">
    <w:abstractNumId w:val="15"/>
  </w:num>
  <w:num w:numId="3" w16cid:durableId="892348859">
    <w:abstractNumId w:val="1"/>
  </w:num>
  <w:num w:numId="4" w16cid:durableId="1277174500">
    <w:abstractNumId w:val="7"/>
  </w:num>
  <w:num w:numId="5" w16cid:durableId="1606577985">
    <w:abstractNumId w:val="10"/>
  </w:num>
  <w:num w:numId="6" w16cid:durableId="929312610">
    <w:abstractNumId w:val="19"/>
  </w:num>
  <w:num w:numId="7" w16cid:durableId="1795754636">
    <w:abstractNumId w:val="20"/>
  </w:num>
  <w:num w:numId="8" w16cid:durableId="1816412913">
    <w:abstractNumId w:val="11"/>
  </w:num>
  <w:num w:numId="9" w16cid:durableId="36438229">
    <w:abstractNumId w:val="13"/>
  </w:num>
  <w:num w:numId="10" w16cid:durableId="440878618">
    <w:abstractNumId w:val="5"/>
  </w:num>
  <w:num w:numId="11" w16cid:durableId="223755292">
    <w:abstractNumId w:val="3"/>
  </w:num>
  <w:num w:numId="12" w16cid:durableId="1721242500">
    <w:abstractNumId w:val="9"/>
  </w:num>
  <w:num w:numId="13" w16cid:durableId="1644503002">
    <w:abstractNumId w:val="17"/>
  </w:num>
  <w:num w:numId="14" w16cid:durableId="1505441358">
    <w:abstractNumId w:val="4"/>
  </w:num>
  <w:num w:numId="15" w16cid:durableId="27686624">
    <w:abstractNumId w:val="0"/>
  </w:num>
  <w:num w:numId="16" w16cid:durableId="491410576">
    <w:abstractNumId w:val="18"/>
  </w:num>
  <w:num w:numId="17" w16cid:durableId="2050181832">
    <w:abstractNumId w:val="6"/>
  </w:num>
  <w:num w:numId="18" w16cid:durableId="1716351059">
    <w:abstractNumId w:val="14"/>
  </w:num>
  <w:num w:numId="19" w16cid:durableId="1157770979">
    <w:abstractNumId w:val="2"/>
  </w:num>
  <w:num w:numId="20" w16cid:durableId="936795810">
    <w:abstractNumId w:val="8"/>
  </w:num>
  <w:num w:numId="21" w16cid:durableId="3115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0"/>
    <w:rsid w:val="001D219D"/>
    <w:rsid w:val="003A4DF2"/>
    <w:rsid w:val="006A6982"/>
    <w:rsid w:val="00855B43"/>
    <w:rsid w:val="009E1B10"/>
    <w:rsid w:val="00BF450E"/>
    <w:rsid w:val="00DE4691"/>
    <w:rsid w:val="00EA39DF"/>
    <w:rsid w:val="00EF3A4E"/>
    <w:rsid w:val="00F05FFB"/>
    <w:rsid w:val="00F1694F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DF8"/>
  <w15:chartTrackingRefBased/>
  <w15:docId w15:val="{1F060D8B-63F1-4836-B80D-A552EDD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2025-10-22T12:34:00Z</dcterms:created>
  <dcterms:modified xsi:type="dcterms:W3CDTF">2025-10-25T06:18:00Z</dcterms:modified>
</cp:coreProperties>
</file>