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Вера, послушание, благодать</w:t>
      </w:r>
    </w:p>
    <w:p w14:paraId="2065C34A" w14:textId="77777777" w:rsidR="00733969" w:rsidRPr="00733969" w:rsidRDefault="00733969" w:rsidP="00733969">
      <w:pPr>
        <w:pStyle w:val="Heading1"/>
      </w:pPr>
      <w:r>
        <w:t>Строительство вашего духовного дома</w:t>
      </w:r>
    </w:p>
    <w:p w14:paraId="7B01ACAB" w14:textId="77777777" w:rsidR="00733969" w:rsidRPr="00733969" w:rsidRDefault="00733969" w:rsidP="00733969">
      <w:r>
        <w:t>Библия использует мощную метафору строительства дома, чтобы проиллюстрировать жизнь веры — духовное здание, возведенное для Царства Божьего, где вера, послушание и благодать переплетаются, образуя важнейшие столпы. Этот образ постепенно раскрывается в ключевых отрывках, начиная с основополагающего учения Иисуса в Матфее 7:24-27, расширяясь через практические наставления Павла в 1 Коринфянам 3:9-15, объединяя верующих в Ефесянам 2:19-22 и кульминируя в описании Петром живых камней в 1 Петра 2:4-8. Вместе эти стихи создают плавный прилив и отлив: от мудрого выбора непоколебимого фундамента, выдерживающего бури, до тщательного выбора строительных материалов, которые выдержат суд, до становления частью святого дома, скрепленного благодатью, и, наконец, до объединения в живые составляющие вокруг Христа, краеугольного камня. Это исследование, вдохновленное сном автора, который побудил его к глубокому изучению Библии, показывает, как послушание Слову Божьему строит стойкий духовный дом, который чтит Его и выдерживает вечность.</w:t>
      </w:r>
    </w:p>
    <w:p w14:paraId="0A4A2492" w14:textId="77777777" w:rsidR="00733969" w:rsidRPr="00733969" w:rsidRDefault="00733969" w:rsidP="00733969">
      <w:pPr>
        <w:pStyle w:val="Heading2"/>
      </w:pPr>
      <w:r>
        <w:t>Мудрое Основание: Слушание и послушание (Матфея 7:24-27)</w:t>
      </w:r>
    </w:p>
    <w:p w14:paraId="59699FAC" w14:textId="77777777" w:rsidR="00733969" w:rsidRPr="00733969" w:rsidRDefault="00733969" w:rsidP="00733969">
      <w:r>
        <w:t>Иисус начинает эту архитектурную метафору в конце Нагорной проповеди, противопоставляя двух строителей, чтобы подчеркнуть первенство послушания, основанного на вере. «Итак, всякий, кто слышит слова Мои и исполняет их, подобен мудрому, который построил дом свой на скале», — говорит Он (ст. 24). Пошли дожди, разлились реки, подули ветры и ударили по дому, но он не упал, потому что его основание было прочным — символизируя жизнь, основанную на доверии и применении Божьей истины. В противоположность этому, неразумный строитель слышит те же слова, но не исполняет их, строя на песке; когда разразилась буря, «он упал, и велико было падение его» (ст. 27). Эта притча устанавливает критически важную отправную точку: основание — это Сам Иисус Христос (как позже поясняет Павел в 1 Коринфянам 3:11), а послушание — это то, что укрепляет дом на Нем, обеспечивая стойкость в жизненных испытаниях.</w:t>
      </w:r>
    </w:p>
    <w:p w14:paraId="441F70E3" w14:textId="77777777" w:rsidR="00733969" w:rsidRPr="00733969" w:rsidRDefault="00733969" w:rsidP="00373F3C">
      <w:pPr>
        <w:pStyle w:val="Heading2"/>
      </w:pPr>
      <w:r>
        <w:t>Строительство из долговечных материалов: Испытание огнём (1 Коринфянам 3:9-15)</w:t>
      </w:r>
    </w:p>
    <w:p w14:paraId="053A816C" w14:textId="77777777" w:rsidR="00733969" w:rsidRPr="00733969" w:rsidRDefault="00733969" w:rsidP="00733969">
      <w:r>
        <w:t>Прямо вытекая из акцента Иисуса на мудром строительстве, Павел развивает метафору в 1 Коринфянам 3:9-15, обращаясь к разделениям в церкви и подчеркивая ответственность в созидании. «Ибо мы соработники в служении Богу, а вы – поле Божие, здание Божие», – пишет Павел (ст. 9). Он прямо указывает на основание: «Ибо никто не может положить другого основания, кроме положенного, которое есть Иисус Христос» (ст. 11) – что идеально согласуется с непоколебимым основанием притчи Матфея. На этом единственном основании каждый строитель должен трудиться тщательно: «Если кто строит на этом основании из золота, серебра, драгоценных камней, дерева, сена или соломы, то дело его будет явлено, потому что день покажет его» (ст. 12-13). Огонь испытает качество работы каждого человека; Прочные материалы — акты верного послушания, вечное служение и учение, укорененное во Христе, — сохранятся и принесут награду, в то время как тленные сгорят, хотя строитель будет спасен «только как тот, кто спасется сквозь пламя» (ст. 15). Это развивает учение Иисуса, добавляя ответственность: не просто правильно заложить фундамент, но и построить с непреходящей целостностью.</w:t>
      </w:r>
    </w:p>
    <w:p w14:paraId="3083AE41" w14:textId="77777777" w:rsidR="00733969" w:rsidRPr="00733969" w:rsidRDefault="00733969" w:rsidP="00373F3C">
      <w:pPr>
        <w:pStyle w:val="Heading2"/>
      </w:pPr>
      <w:r>
        <w:t>Объединенные как Божий дом: возрастая в святой храм (Ефесянам 2:19-22)</w:t>
      </w:r>
    </w:p>
    <w:p w14:paraId="46C0B8EC" w14:textId="77777777" w:rsidR="00733969" w:rsidRPr="00733969" w:rsidRDefault="00733969" w:rsidP="00733969">
      <w:r>
        <w:t>В Послании к Ефесянам 2:19-22 Павел развивает эту образность, переходя к корпоративному измерению, где благодать объединяет верующих в единое божественное жилище. Язычники больше не «чужеземцы и странники», теперь они «сограждане с народом Божьим и члены Его дома» (ст. 19), «построенные на основании апостолов и пророков, с Самим Христом Иисусом как краеугольным камнем» (ст. 20). В Нем «все здание соединяется и воздвигается, чтобы стать святым храмом Господним» (ст. 21), и верующие «создаются вместе, чтобы стать жилищем, в котором Бог обитает Духом Своим» (ст. 22). Это плавно вытекает из предыдущих отрывков: основанием является Христос (Матфея и 1 Коринфянам), теперь подробно описываемый как включающий апостольское и пророческое учение, с Христом как краеугольным камнем, который идеально объединяет каждую часть. Благодать является связующим звеном — примиряющая работа Христа соединяет иудеев и язычников, предотвращая разделение и обеспечивая неуклонный рост в священное жилище Божье.</w:t>
      </w:r>
    </w:p>
    <w:p w14:paraId="6A83103F" w14:textId="77777777" w:rsidR="00733969" w:rsidRPr="00733969" w:rsidRDefault="00733969" w:rsidP="00373F3C">
      <w:pPr>
        <w:pStyle w:val="Heading2"/>
      </w:pPr>
      <w:r>
        <w:t>Живые камни, выровненные с краеугольным камнем: принятие или преткновение (1 Петра 2:4-8)</w:t>
      </w:r>
    </w:p>
    <w:p w14:paraId="41132AE9" w14:textId="77777777" w:rsidR="00733969" w:rsidRPr="00733969" w:rsidRDefault="00733969" w:rsidP="00733969">
      <w:r>
        <w:t>В 1 Петра 2:4-8 Петр ярко оживляет эту метафору, изображая дом как динамичную, духовную реальность. «Приходя к Нему, живому Камню, отвергнутому людьми, но избранному и драгоценному пред Богом, вы сами, как живые камни, созидаетесь в дом духовный» (ст. 4-5). Верующие становятся святым священством, принося духовные жертвы, угодные Богу, через Иисуса Христа. Петр цитирует Писание, чтобы подтвердить, что Христос — это «камень, отвергнутый строителями, но ставший краеугольным камнем» (ст. 7, из Псалма 118:22), и «камень, соблазняющий людей, и скала, падающая людей» (ст. 8, из Исаии 8:14). Для тех, кто верует и повинуется, Он — драгоценное подобие и честь; для непослушных — точка преткновения. Это кульминация развития: основание (Матфея/1 Коринфянам), единый храм (Ефесянам), теперь оживленный живыми участниками, активно объединенными вокруг краеугольного камня посредством постоянного послушания.</w:t>
      </w:r>
    </w:p>
    <w:p w14:paraId="17620750" w14:textId="77777777" w:rsidR="00733969" w:rsidRPr="00733969" w:rsidRDefault="00733969" w:rsidP="00FC74D7">
      <w:pPr>
        <w:pStyle w:val="Heading2"/>
      </w:pPr>
      <w:r>
        <w:t>Сплетая всё воедино: цельное духовное здание</w:t>
      </w:r>
    </w:p>
    <w:p w14:paraId="26BF334C" w14:textId="77777777" w:rsidR="00733969" w:rsidRPr="00733969" w:rsidRDefault="00733969" w:rsidP="00733969">
      <w:r>
        <w:t>Эти отрывки переплетаются в совершенной гармонии, раскрывая всеобъемлющий Божий замысел относительно духовного дома. В Евангелии от Матфея 7:24-27 утверждается повеление: слушайте слова Христа и повинуйтесь, укрепляя дом на непоколебимом основании (явно Иисус Христос в 1 Коринфянам 3:11). 1 Коринфянам 3:9-15 добавляет глубины, призывая к тщательному строительству из материалов, выдерживающих огненные испытания, подчеркивая личную ответственность на этом единственном основании. Ефесянам 2:19-22 расширяет масштаб общины, показывая, как благодать соединяет верующих — основанных на апостолах и пророках — со Христом как краеугольным камнем, обеспечивающим совершенное соответствие и рост в Божий храм. Наконец, 1 Петра 2:4-8 наполняет жизненным силой, превращая статичные материалы в живые камни, активно возводимые вокруг живого Краеугольного камня, где вера дает священство и честь, а неверие ведет к преткновению. Единое послание ясно: Иисус Христос — исключительное основание и краеугольный камень; послушание созидает прочно; благодать объединяет и поддерживает; результатом является святой, живой храм, в котором обитает Бог, устойчивый к любой буре и суду. Непослушание в любой момент грозит обрушением или потерей, но полное единство со Христом создает вечное жилище, прославляющее Его. Это целостное видение, рожденное из вдохновленного сновидениями исследования автора, призывает каждого верующего мудро и послушно строить для Царства Божьего.</w:t>
      </w:r>
    </w:p>
    <w:p w14:paraId="40252387" w14:textId="77777777" w:rsidR="00445DDC" w:rsidRPr="007D47F3" w:rsidRDefault="00445DDC" w:rsidP="00445DDC">
      <w:pPr>
        <w:pStyle w:val="Heading2"/>
      </w:pPr>
      <w:r>
        <w:t>Основание: Христос, апостолы и пророки Ветхого Завета</w:t>
      </w:r>
    </w:p>
    <w:p w14:paraId="6BD0C61C" w14:textId="77777777" w:rsidR="00445DDC" w:rsidRPr="007D47F3" w:rsidRDefault="00445DDC" w:rsidP="00445DDC">
      <w:r>
        <w:t>Духовный дом зиждется на основании Христа, апостолов и ветхозаветных пророков (Ефесянам 2:20). Каждый из них играет свою особую роль в укреплении веры верующих и руководстве послушанием.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Христос — краеугольный камень: Иисус — краеугольный камень, определяющий всю структуру (Ефесянам 2:20; Исаия 28:16). Его жизнь, учение и жертва являются основой для веры и послушания. Как божественное Слово (Иоанна 1:1), Он лежит в основе всего Писания, хотя и не Сам его написал (2 Тимофею 3:16). Каждый аспект духовного дома соотносится с Ним, чтобы оставаться истинным.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Апостолы: Избранные Христом, апостолы, такие как Павел, Петр и Иоанн, заложили фундамент через свои вдохновенные новозаветные писания (например, Евангелия, послания) под руководством Святого Духа (2 Петра 1:20-21). Их учения наставляют верующих в праведной жизни и послушании воле Божьей (Ин. 16:13-14).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Пророки Ветхого Завета: Пророки, такие как Исаия, Иеремия и Моисей, вдохновленные Богом, написали Писания, предсказывающие пришествие Христа (например, Исаия 53; Второзаконие 18:15). Их писания, наряду с апостольскими учениями, составляют основу веры (Ефесянам 2:20). Послушание их вдохновленному посланию приводит верующих к Христу, тогда как отвержение его ведет к преткновению (1 Петра 2:8).</w:t>
      </w:r>
    </w:p>
    <w:p w14:paraId="6A12795D" w14:textId="346444E9" w:rsidR="00575D65" w:rsidRDefault="00575D65" w:rsidP="00B91B4D">
      <w:pPr>
        <w:pStyle w:val="Heading3"/>
      </w:pPr>
      <w:r>
        <w:t>Примеры краеугольных камней и фундаментов</w:t>
      </w:r>
    </w:p>
    <w:p w14:paraId="267EE940" w14:textId="643AB9E0" w:rsidR="00921B34" w:rsidRPr="00921B34" w:rsidRDefault="00921B34" w:rsidP="00921B34">
      <w:r>
        <w:t>Вот несколько примеров учения Христа, дополненных учениями апостолов и пророков.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Краеугольный камень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Основы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Матфея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1 Коринфянам 3:9-15, Ефесянам 2:19-22, 1 Петра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Матфея 13:33, Матфея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1 Коринфянам 5:6-13, Галатам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Матфея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Псалом 37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Матфея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Притчи 25:21-22, Римлянам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Матфея 5:21-30, Матфея 15:18-20, Марка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Галатам 5:19-21, Римлянам 1:29-31, Притчи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Читая много, читатель сможет узнать больше.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Вера – πίστις – пистис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Убежденность в истинности чего-либо, вера; в Новом Завете – убежденность или вера относительно отношения человека к Богу и божественным вещам, как правило, с включенным в нее понятием доверия и святого рвения, рожденного из веры и соединенного с ней.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отношение к Богу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убеждение в том, что Бог существует и является создателем и правителем всего сущего, дарителем и подателем вечного спасения через Христа.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1б) относящиеся к Христу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Твердое и желанное убеждение или вера в то, что Иисус есть Мессия, через которого мы обретаем вечное спасение в Царстве Божьем.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религиозные убеждения христиан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Вера, в которой преобладает идея доверия (или уверенности) к Богу или ко Христу, проистекающая из веры в одного и того же.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верность, преданность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Характер человека, на которого можно положиться.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Псалом 14:1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Вера — это не просто выбор, это отношение сердца.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Можно быть религиозным человеком и при этом оставаться практическим атеистом. (Живете ли вы так, будто Бог существует?)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Послание к Евреям 11:1-3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Вера — это не просто «вера в то, что, как вы знаете, и так не соответствует действительности»!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Это не просто прыжок во тьму. (Это прыжок на свет!)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Это духовная уверенность.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Евреям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Без веры невозможно угодить Богу.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Мы можем и должны верить в существование Бога.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Он там, и мы найдем его, если будем усердно его искать.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Иакова 2:14–26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Вера без дел бесполезна.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Стремление к праведности: борьба с грехом. • Стремление к отношениям с Богом: молитва, изучение Библии.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Стремление помогать другим: церковь, евангелизация, забота о нуждающихся.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Вера считается полной только тогда, когда она является активной верой.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Вера и поступки Авраама действовали согласованно. В Бытие 22 Бог узнал об истинной вере Авраама только в момент его послушания (22:12).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Никто не оправдывается верой без дел (Иакова 2:24).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Примечание: Из-за своей веры в «оправдание одной лишь верой» и «однажды спасенный — всегда спасенный» Лютер (1500-е годы) отверг всю книгу Иакова. Он также отверг Послание к Евреям, поскольку в этой книге неоднократно говорится о возможности потерять спасение. (Лютер с этим не соглашался.)</w:t>
      </w:r>
    </w:p>
    <w:p w14:paraId="6C3AB72C" w14:textId="33C17FD0" w:rsidR="007233BF" w:rsidRDefault="007233BF" w:rsidP="007233BF">
      <w:pPr>
        <w:pStyle w:val="Heading2"/>
      </w:pPr>
      <w:r>
        <w:t>Евреям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Верой Авель принес Богу угодную жертву (Евреям 11:4).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Верой Ной построил ковчег, чтобы спасти свою семью, после того как Бог предупредил его (Евреям 11:7).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Авраам повиновался вере и отправился в чужую страну, потому что понял, что Бог призывает его в еще лучший дом (то есть на небеса) (Евреям 11:8-10).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Вера в действии — это праведный ответ на живое слово Божье.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Вера в Божьи обещания (верное действие определяется выполнением условий Божьих обещаний)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Бог желает благословить нас.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Взаимоотношения Бога с человечеством всегда характеризовались благодатными предложениями божественного благословения с условиями веры и повиновения Его воле — то есть обещаниями в форме условных утверждений (если... то...).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Авраам, известный в Библии как «отец верующих», оставил всё и последовал за Богом в Землю Обетованную — получение благословения зависело от его послушания (Бытие 12:1-4).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Эти обещания впоследствии были названы заветом Бога с Авраамом.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Ветхий и Новый Заветы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Как упоминалось в предыдущем уроке, Библия разделена на два основных раздела: Ветхий Завет и Новый Завет, описывающие два различных завета, содержащихся в них.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В истории Бог заключал заветы с двумя очень конкретными группами людей: первая — с народом Израиля, призванным из Египта, а вторая — с христианами, призванными из мира (Евреям 8:6-13).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Хотя Ветхий Завет чаще всего рассматривается в контексте заповедей, на самом деле его основой являются обетования, лежащие в основе этих законов (Второзаконие 7:12-15).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К сожалению, неверность израильтян лишила их права на получение Божьих благословений (Ис. 1:2-7).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Некоторые примеры лучших обещаний Нового Завета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Если мы будем прежде всего искать Царство Божье и праведность, тогда Бог позаботится обо всех наших физических нуждах (Матфея 6:33).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Если мы придем к Иисусу, примем Его иго и возложим на Него свои бремени, тогда обретем духовный покой (Матфея 11:28-30).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Если мы покаемся и крестимся, то получим прощение грехов и дар Святого Духа, пребывающего в нас (Деяния 2:36-39).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Настойчивость в исполнении воли Божьей гарантирует нам Божье благословение (Евреям 10:35-39).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Повиновение Божьему учению ведет к познанию истины.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Авраам повиновался вере и отправился в чужую страну, потому что понял, что Бог призывает его в еще лучший дом (то есть на небеса) (Евреям 11:8-10, 13-16).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Авраам повиновался вере и принес в жертву Исаака, потому что верил, что Бог может даже воскрешать мертвых (Евреям 11:17-19).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Наша жизнь должна соответствовать нашим убеждениям (1 Тимофею 4:16).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Мы должны верить в правильные вещи и жить правильно.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Как получение спасения, так и эффективное распространение его послания связаны с нашей жизнью и учением.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На этой неделе уделите время размышлениям о том, во что вы верите и насколько хорошо вы воплощаете эти убеждения в жизнь.</w:t>
      </w:r>
    </w:p>
    <w:p w14:paraId="0933F709" w14:textId="6C5DA96D" w:rsidR="003E6ED9" w:rsidRPr="003E6ED9" w:rsidRDefault="003E6ED9" w:rsidP="003E6ED9">
      <w:pPr>
        <w:pStyle w:val="Heading1"/>
      </w:pPr>
      <w:r>
        <w:t>Послушание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послушание, подчинение, покорность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Послушание, оказываемое чьим-либо советам, послушание, проявляемое в соблюдении требований христианства.</w:t>
      </w:r>
    </w:p>
    <w:p w14:paraId="52DC3353" w14:textId="654DDA95" w:rsidR="003E6ED9" w:rsidRPr="003E6ED9" w:rsidRDefault="003E6ED9" w:rsidP="00AA7364">
      <w:pPr>
        <w:pStyle w:val="Heading1"/>
      </w:pPr>
      <w:r>
        <w:t>Obey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слушать, прислушиваться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о том, кто, постучав в дверь, приходит послушать, кто это (обязанность привратника).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откликнуться на приказ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подчиняться, быть послушным, покоряться</w:t>
      </w:r>
    </w:p>
    <w:p w14:paraId="0D75C8C8" w14:textId="77777777" w:rsidR="00AA7364" w:rsidRPr="00AA7364" w:rsidRDefault="00AA7364" w:rsidP="00AA7364">
      <w:r>
        <w:t>Учение Ветхого Завета — Давайте рассмотрим трех человек, живших в рамках Ветхого Завета.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Саул — 1 Царств 15 (избранное)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15:1–3: Саулу поручено выполнить конкретное повеление.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15:7–9: Саул лишь частично исполняет повеление.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15:12–31: Он оказывает сильное сопротивление, прежде чем признать свой грех. Оправдания!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Выводы: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Частичное послушание — это непослушание!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Избирательное послушание — это непослушание!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Можно полностью заблуждаться относительно того, были ли мы послушны или нет.</w:t>
      </w:r>
    </w:p>
    <w:p w14:paraId="7462FCDF" w14:textId="77777777" w:rsidR="00AA7364" w:rsidRPr="00AA7364" w:rsidRDefault="00AA7364" w:rsidP="007A2EAF">
      <w:pPr>
        <w:pStyle w:val="Heading2"/>
      </w:pPr>
      <w:r>
        <w:t>Узза — 2 Царств 6:1–7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Бог считает непослушание Его слову серьезным преступлением!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Искренность не снимает вины (1 Коринфянам 4:4).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Звучит ли это несправедливо? Давид тоже так думал, пока не узнал, что говорит Слово Божье (см. 1 Паралипоменон 15:12–15).</w:t>
      </w:r>
    </w:p>
    <w:p w14:paraId="235D23F9" w14:textId="77777777" w:rsidR="00AA7364" w:rsidRPr="00AA7364" w:rsidRDefault="00AA7364" w:rsidP="007A2EAF">
      <w:pPr>
        <w:pStyle w:val="Heading2"/>
      </w:pPr>
      <w:r>
        <w:t>Нааман — 2 Царств 5:1–15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5:10: Слово Божье ясно и прямолинейно.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Остерегайтесь эмоциональной реакции на слово Божье.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Откажитесь от предвзятых идей.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5:12: Нет, нет никаких альтернатив тому, чтобы делать то, что говорит Бог.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5:13: Нам нужна помощь, чтобы быть объективными и логически рассуждать.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Бог благословляет послушание.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Приблизительного послушания недостаточно (пять омовений в Иордане или семь омовений в Фарпаре).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5:15: Мы учимся ценить и почитать Бога, когда начинаем Ему повиноваться.</w:t>
      </w:r>
    </w:p>
    <w:p w14:paraId="02676B07" w14:textId="77777777" w:rsidR="00AA7364" w:rsidRPr="00AA7364" w:rsidRDefault="00AA7364" w:rsidP="00AA7364">
      <w:r>
        <w:t>Учение Нового Завета: Давайте посмотрим, чему учили Иисус и его последователи о послушании.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Матфея 7:21–23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Эти люди были религиозными, активными и, возможно, искренними, но заблудшими.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Только те, кто повинуется Богу, попадут на небеса.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Можно верить, что у тебя есть спасенные отношения с Богом, но при этом ты вовсе не спасен.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Иоанна 14:15, 23–24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Послушание — это не просто часть старого закона; Иисус и Новый Завет неоднократно говорят о послушании.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Любовь и послушание практически равнозначны.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1 Иоанна 2:3–6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2:3: Вы можете быть уверены в своем спасении, если живете как послушный ученик Иисуса.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2:4: Если вы утверждаете, что знаете Его, но не повинуетесь, то вы лжец.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2:6: Мы должны следовать образу жизни Иисуса! Послушание — центральная часть христианства.</w:t>
      </w:r>
    </w:p>
    <w:p w14:paraId="734648E6" w14:textId="77777777" w:rsidR="00AA7364" w:rsidRPr="00AA7364" w:rsidRDefault="00AA7364" w:rsidP="00AA7364">
      <w:r>
        <w:t>Заключение</w:t>
      </w:r>
    </w:p>
    <w:p w14:paraId="6A6799B0" w14:textId="77777777" w:rsidR="00AA7364" w:rsidRPr="00AA7364" w:rsidRDefault="00AA7364" w:rsidP="00AA7364">
      <w:r>
        <w:t>Как мы видим, крест не сделал послушание необязательным. Оно всегда было крайне важно для истинного последователя Бога. Что же мешало вам повиноваться?</w:t>
      </w:r>
    </w:p>
    <w:p w14:paraId="39E45162" w14:textId="0FEAEA33" w:rsidR="005B4641" w:rsidRPr="005B4641" w:rsidRDefault="005B4641" w:rsidP="00E36535">
      <w:pPr>
        <w:pStyle w:val="Heading1"/>
      </w:pPr>
      <w:r>
        <w:t>Grace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милость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То, что дарит радость, удовольствие, восторг, сладость, очарование, прелесть: изящество речи.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доброжелательность, любовь и благосклонность, благосклонность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о милосердной доброте, которой Бог, оказывая Свое святое влияние на души, обращает их ко Христу, сохраняет, укрепляет и умножает их христианскую веру, знание, любовь и воспламеняет их к проявлению христианских добродетелей.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что причитается благодати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духовное состояние того, кто находится под властью божественной благодати.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знак или доказательство милости, выгоды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дар благодати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выгода, награда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благодарность (за льготы, услуги, услуги), вознаграждение, награда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Апостол Павел, пожалуй, ценил Божью благодать больше, чем кто-либо другой из своего времени, и он говорит нам, что именно поэтому он так многого достиг (1 Коринфянам 15:10). Поскольку нам крайне важно понимать концепцию благодати и ясно её преподавать, мы выбираем Павла для сбалансированного понимания благодати.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Ефесянам 2:1–10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В своих грехах мы мертвы для Бога. Когда мы живем так, как хочет мир, или следуем своим собственным желаниям, мы становимся объектом гнева.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Благодаря благодати (Божьей любви к нам) мы можем быть спасены. Мы этого не заслуживаем, но это дар, который мы получаем бесплатно, если принимаем его.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Мы спасены благодаря нашей вере во Христа.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Божья любовь побуждает нас совершать добрые дела.</w:t>
      </w:r>
    </w:p>
    <w:p w14:paraId="0ED9AA75" w14:textId="77777777" w:rsidR="00203711" w:rsidRPr="00203711" w:rsidRDefault="00203711" w:rsidP="00521974">
      <w:pPr>
        <w:pStyle w:val="Heading2"/>
      </w:pPr>
      <w:r>
        <w:t>Римлянам 5:6–11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Определение благодати: Бог любит нас настолько, что позволил Христу умереть за наши грехи, когда мы были Его врагами. Аббревиатура: Богатство Божье за счет Христа.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Мы были заблудшими грешниками, заслуживающими лишь наказания, но Он послал Христа пострадать вместо нас.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Благодаря крови Иисуса мы спасены от гнева Божьего (для прощения необходимо пролить кровь [Евреям 9:22, 28]).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Титу 2:11–14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Благодать означает для нас спасение.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Божья любовь побуждает нас очищаться от греха; мы не будем злоупотреблять Божьей благодатью.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Поскольку благодать побеждает страсти, она не является оправданием для греха (Иуда 4). Благодать не дешева — она стоила Иисусу жизни.</w:t>
      </w:r>
    </w:p>
    <w:p w14:paraId="5768E762" w14:textId="77777777" w:rsidR="00203711" w:rsidRPr="00203711" w:rsidRDefault="00203711" w:rsidP="00521974">
      <w:pPr>
        <w:pStyle w:val="Heading2"/>
      </w:pPr>
      <w:r>
        <w:t>1 Коринфянам 1:18–25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Крест — это могущественное Божье решение проблемы греха.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Без понимания Божьей любви послание креста покажется нам безумием.</w:t>
      </w:r>
    </w:p>
    <w:p w14:paraId="43872DA1" w14:textId="77777777" w:rsidR="00203711" w:rsidRPr="00203711" w:rsidRDefault="00203711" w:rsidP="00521974">
      <w:pPr>
        <w:pStyle w:val="Heading2"/>
      </w:pPr>
      <w:r>
        <w:t>2 Коринфянам 5:14–21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Любовь Христа требует ответа! (См. 1 Коринфянам 15:9–10.)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Иисус понес наши грехи в той мере, в какой стал грехом, или жертвой за грех.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Божья любовь побуждает нас жить для Него и говорить от Его имени.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1 Коринфянам 15:9–10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Хотя и неверно утверждение, что мы спасаемся упорным трудом, верно и то, что больше всего Божьей благодати ощущают самые трудолюбивые люди, которые трудятся ради Бога!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Притчи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В этом стихе говорится о смирении, связанном с благодатью.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Цитаты Петра и Иакова (1 Петра 5:5, Иакова 4:6)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Благодать — это не оправдание для греха или лени.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Некоторые неправильно понимают благодать как разрешение продолжать грешить (или лениться), думая: «Бог всё равно простит». Но Писание решительно опровергает это: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«Что же скажем? Будем ли продолжать грешить, чтобы умножилась благодать? Нет! Как же мы, умершие для греха, будем еще жить в нем?» (Римлянам 6:1-2).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Благодать учит нас «отвергать нечестие и мирские похоти» и жить «трезво, праведно и благочестиво» (Титу 2:11-12).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Те, кто извращает благодать, превращая её в оправдание безнравственности, осуждаются (Иуда 4). Божья благодать дорого стоит — она стоила Христу жизни — и она даёт нам силы преодолевать грех, а не оправдывать его. Как сказал Павел: «Благодатью Божией я есмь то, что есмь, и благодать Его ко мне не тщетна; но я трудился больше всех их, но не я, а благодать Божия, которая была со мной» (1 Коринфянам 15:10). Истинная благодать питает ревностное послушание и усердный труд во имя Царства Божьего, а не лень.</w:t>
      </w:r>
    </w:p>
    <w:p w14:paraId="68A5006B" w14:textId="740FFEF5" w:rsidR="007A2EAF" w:rsidRDefault="008B2775" w:rsidP="006A089B">
      <w:pPr>
        <w:pStyle w:val="Heading2"/>
      </w:pPr>
      <w:r>
        <w:t>Известные примеры веры, послушания и благодати.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Авраам: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Вера: Авраам известен как «отец веры» за свою веру в Божьи обещания. Он покинул свою родину по указанию Бога, не зная, куда идет (Бытие 12:1-4).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Послушание: Его послушание наиболее ярко проявилось, когда он был готов принести в жертву своего сына Исаака, доверяя Божьему замыслу (Бытие 22:1-18).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Благодать: Несмотря на его недостатки, такие как сомнение в Божьем обещании, когда он смеялся над мыслью о рождении ребенка в преклонном возрасте (Бытие 17:17), Бог проявил к нему благодать, исполнив Свой завет, несмотря на человеческие слабости Авраама (Бытие 15:6, Римлянам 4:3).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Ной: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Вера: Ной поверил предупреждению Бога о потопе, хотя никаких признаков его приближения не было (Евреям 11:7).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Послушание: Он скрупулезно следовал указаниям Бога при строительстве ковчега, что заняло много лет и могло обернуться насмешками (Бытие 6:22).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Благодать: Бог явил милость, спася Ноя и его семью от потопа и заключив с ним после этого завет (Бытие 6:8).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Моисей: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Вера: Моисей верил в силу Бога, способную избавить Израиль от египетского рабства, и даже противостоял фараону с уверенностью в Божьем обещании (Исход 3:10-12).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Послушание: Он следовал подробным указаниям Бога относительно вывода израильтян из Египта и их пути через пустыню (Исход 3-40).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Благодать: Несмотря на первоначальное нежелание и последующие моменты непослушания (например, удар о скалу), Божья благодать проявилась в том, что Моисей был избран лидером, несмотря на заикание, и ему было позволено увидеть Землю Обетованную перед смертью (Числа 12:3, Второзаконие 34:1-4).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Мария, мать Иисуса: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Вера: Она поверила в откровение ангела Гавриила о том, что родит Сына Божьего, несмотря на социальные последствия (Лука 1:38).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Послушание: Ее ответ ангелу был покорным: «Вот, я раба Господня; да будет мне по слову твоему».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Благодать: Божья благодать пребывала на ней, когда она была избрана стать матерью Иисуса, роль, которая требовала огромной веры и послушания (Лука 1:28-30).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Дэйвид: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Вера: Вера Давида проявилась в его противостоянии Голиафу, когда он доверился Божьему спасению (1 Царств 17:45-47).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Послушание: Несмотря на многочисленные недостатки, Давид стремился повиноваться Богу, следуя Его заповедям, особенно когда он отказался причинить вред Саулу, помазаннику Божьему (1 Царств 24:6).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Благодать: Давид неоднократно испытывал Божью благодать, особенно в своем покаянии после греха с Вирсавией, когда ему было прощено, и он был назван человеком по сердцу Божьему (Псалом 51, Деяния 13:22).</w:t>
      </w:r>
    </w:p>
    <w:p w14:paraId="6D234213" w14:textId="3DD74307" w:rsidR="0060024F" w:rsidRDefault="0060024F" w:rsidP="000C3ED0">
      <w:pPr>
        <w:pStyle w:val="Heading2"/>
      </w:pPr>
      <w:r>
        <w:t>Дополнение</w:t>
      </w:r>
    </w:p>
    <w:p w14:paraId="0C47EC02" w14:textId="46CE230B" w:rsidR="007D47F3" w:rsidRPr="007D47F3" w:rsidRDefault="007D47F3" w:rsidP="0020069E">
      <w:pPr>
        <w:pStyle w:val="Heading3"/>
      </w:pPr>
      <w:r>
        <w:t>Почему в Послании к Ефесянам 2:20 упоминаются пророки Ветхого Завета?</w:t>
      </w:r>
    </w:p>
    <w:p w14:paraId="3E35B768" w14:textId="77777777" w:rsidR="007D47F3" w:rsidRPr="007D47F3" w:rsidRDefault="007D47F3" w:rsidP="007D47F3">
      <w:r>
        <w:t>В Послании к Ефесянам 2:20 говорится, что церковь «построена на основании апостолов и пророков, краеугольным камнем которого является Сам Иисус Христос». Термин «пророки», скорее всего, относится к ветхозаветным пророкам по следующим причинам: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Библейский контекст: В Послании к Ефесянам Павел подчеркивает единство иудеев и язычников в церкви, построенной на общем основании (Ефесянам 2:14-18). Ветхозаветные пророки, предсказавшие Мессию и Божий план для всех народов (например, Исаия 42:6, 49:6), обеспечивают библейское основание, дополняющее учение апостолов Нового Завета. Это согласуется с историческими еврейскими писаниями, почитаемыми ранними христианами.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Библейское прецедентное значение: Ветхий Завет часто цитируется как основа христианской веры в Новом Завете (например, Римлянам 1:2; Евреям 1:1-2). Сам Иисус утверждал, что Закон и Пророки (Ветхий Завет) указывают на Него (Матфея 5:17; Луки 24:44). Включение ветхозаветных пророков в Ефесянам 2:20 подтверждает эту преемственность.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Роль пророков: Ветхозаветные пророки в основном передавали богодухновенные Писания (2 Петра 1:21), которые служили авторитетным основанием для ранней церкви наряду с апостольскими писаниями. Новозаветные пророки, хотя и были одарены даром откровения и ободрения (1 Коринфянам 14:3), обычно не ассоциируются с закладкой основополагающего Писания для церкви.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Грамматическая структура: В Послании к Ефесянам 2:20 «апостолы и пророки» объединены в единую группу, что указывает на историческую последовательность, в которой ветхозаветные пророки предшествовали и дополняли работу апостолов. Если бы подразумевались новозаветные пророки, Павел мог бы выделить их отдельно или использовать такие термины, как «пророки в церкви» (как в Послании к Ефесянам 4:11).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Теологическая согласованность: Краеугольный камень (Христос) и основание (апостолы и ветхозаветные пророки) представляют собой единое откровение Божьего плана в обоих заветах. Включение новозаветных пророков чревато избыточностью, поскольку их роль частично совпадает с ролью апостолов в ранней церкви (например, Деяния 11:27-28).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Альтернативная точка зрения: пророки Ветхого и Нового Заветов</w:t>
      </w:r>
    </w:p>
    <w:p w14:paraId="59D09F70" w14:textId="576BA1FB" w:rsidR="007D47F3" w:rsidRPr="007D47F3" w:rsidRDefault="007D47F3" w:rsidP="007D47F3">
      <w:r>
        <w:t>Некоторые ученые утверждают, что под словом «пророки» в Послании к Ефесянам 2:20 подразумеваются как пророки Ветхого, так и Нового Завета, ссылаясь на следующие источники: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Пророчества Нового Завета: В Послании к Ефесянам 4:11 пророки упоминаются как дар церкви, что указывает на их роль в её основании (например, Агаб в Деяниях 11:28).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Контекст ранней церкви: Новозаветные пророки давали откровения еще до того, как канон был завершен, потенциально способствуя основанию церкви.</w:t>
      </w:r>
    </w:p>
    <w:p w14:paraId="3EA96588" w14:textId="77777777" w:rsidR="007D47F3" w:rsidRPr="007D47F3" w:rsidRDefault="007D47F3" w:rsidP="007D47F3">
      <w:r>
        <w:t>Однако эта точка зрения менее вероятна, поскольку: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Пророки Нового Завета в основном давали указания в конкретных ситуациях (например, Деяния 21:10-11), а не являлись авторитетными текстами Писания, как пророки Ветхого Завета.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В Послании к Ефесянам 2:20 основополагающая роль отводится непреходящим библейским текстам (Ветхому Завету и апостольским писаниям), а не временным пророческим изречениям.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В Послании к Ефесянам Павел сосредотачивается на единстве Божьего плана на протяжении всей истории, что лучше всего достигается путем сопоставления ветхозаветных пророков с апостолами.</w:t>
      </w:r>
    </w:p>
    <w:p w14:paraId="50FA3546" w14:textId="77777777" w:rsidR="007D47F3" w:rsidRPr="007D47F3" w:rsidRDefault="007D47F3" w:rsidP="007D47F3">
      <w:r>
        <w:t>Таким образом, толкование «пророков» как ветхозаветных пророков обеспечивает более ясное и последовательное основание для веры церкви, укорененное в непреходящих библейских текстах, указывающих на Христа.</w:t>
      </w:r>
    </w:p>
    <w:p w14:paraId="29DAAA1A" w14:textId="3369A476" w:rsidR="007D47F3" w:rsidRPr="007D47F3" w:rsidRDefault="00B477E9" w:rsidP="000C3ED0">
      <w:pPr>
        <w:pStyle w:val="Heading1"/>
      </w:pPr>
      <w:r>
        <w:t>Практическое применение: Строительство дома</w:t>
      </w:r>
    </w:p>
    <w:p w14:paraId="44BC81F5" w14:textId="77777777" w:rsidR="007D47F3" w:rsidRPr="007D47F3" w:rsidRDefault="007D47F3" w:rsidP="007D47F3">
      <w:r>
        <w:t>Чтобы построить крепкий духовный дом, необходимо объединить веру, послушание и благодать: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Укрепляйте веру: ежедневно изучайте Священное Писание (например, Псалом 119), чтобы углубить доверие к учению Христа как к краеугольному камню.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Следуйте Основам: следуйте вдохновенным учениям апостолов и ветхозаветных пророков (например, применяйте Матфея 7:24-27, действуя в соответствии со словами Иисуса). Придерживайтесь Христа, чтобы избежать падения (1 Петра 2:8).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Полагайтесь на благодать: доверьтесь незаслуженной благодати Божьей, которая поддержит вас как члена Его дома (Ефесянам 2:8-9, 19-22). Делитесь благодатью, ободряя других в вере.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Еженедельное задание: поставьте перед собой одну цель, основанную на вере (например, прочитать Псалом 119, чтобы понять Слово Божье), одно действие послушания (например, простить кого-то, как сказано в Матфее 6:14-15) и один акт благодати (например, помочь ближнему). Изучите 1 Петра 2:5-8, чтобы приблизиться к Христу, краеугольному камню.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