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Percanggahan Antara Kekristianan Ortodoks Timur dan Kekristianan Perjanjian Baru</w:t>
      </w:r>
    </w:p>
    <w:p w14:paraId="50A0989C" w14:textId="189CB2F6" w:rsidR="00B10E3B" w:rsidRPr="00B10E3B" w:rsidRDefault="00411B78" w:rsidP="00411B78">
      <w:pPr>
        <w:pStyle w:val="Subtitle"/>
      </w:pPr>
      <w:r>
        <w:t>Pengenalan</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Kitab Wahyu, bab 2–3, mengandungi surat-surat daripada Yesus Kristus kepada tujuh gereja di Asia Kecil, setiap satunya berfungsi sebagai ucapan sejarah dan tipologi simbolik untuk keadaan gereja yang lebih luas merentasi masa. Antaranya, gereja di Pergamum (Wahyu 2:12–17) sering ditafsirkan dalam kerangka eskatologi sebagai mewakili fasa Kekristianan yang dicirikan oleh kesetiaan di tengah-tengah penganiayaan tetapi dikompromikan oleh pakatan duniawi—khususnya, berpegang pada doktrin yang disamakan dengan Bileam (yang membawa kepada penyembahan berhala dan tidak bermoral) dan pengikut Nikolaus (hierarki kerani atas orang awam). Dari segi sejarah, Pergamum merupakan pusat penyembahan kultus imperialis, dengan &amp;quot;takhta Syaitan&amp;quot; mungkin merujuk kepada mezbah Zeus atau penghormatan maharaja Rom, yang melambangkan keterikatan kuasa negara. Dalam mengaplikasikannya kepada Gereja Ortodoks Timur (seperti yang dinilai semula daripada analisis terdahulu menggunakan doktrin moden), ia mengetengahkan ketegangan yang dirasakan antara pemeliharaan kepercayaan kuno yang patut dipuji dan dakwaan penyimpangan daripada kesucian Perjanjian Baru, seperti integrasi dengan pihak berkuasa negara (Kaisaropapisme Byzantine), struktur hierarki, dan elaun moden seperti kontrasepsi dan perceraian, yang dilihat sebagai kompromi moral yang serupa dengan ajaran Bileam. Surat itu memuji berpegang teguh pada nama Kristus sambil menegur toleransi terhadap doktrin yang menyesatkan, menyeru pertaubatan dan menjanjikan manna tersembunyi kepada para pemenang. Tipologi ini menggariskan tema kewaspadaan doktrin, sejajar dengan kritikan terhadap hubungan sejarah Ortodoksi dengan empayar dan unsur-unsur luar alkitabiah.</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Istilah &amp;quot;Kristianisme Ortodoks&amp;quot; merujuk kepada Gereja Ortodoks Timur, yang berakar umbi kepada komuniti Kristian awal dan mendakwa kesinambungan yang tidak terputus dengan para rasul melalui tradisi, liturgi, dan doktrin. &amp;quot;Kristianisme Perjanjian Baru,&amp;quot; seperti yang sering digunakan dalam konteks ini, biasanya membayangkan suatu bentuk Kekristianan yang hanya berdasarkan Bible, tanpa perkembangan kemudian seperti sakramen formal atau amalan penghormatan. Pengkritik berpendapat bahawa kepercayaan dan amalan Ortodoks tertentu bercanggah dengan ajaran Perjanjian Baru tentang autoriti, keselamatan, penyembahan, dan sifat manusia. Walau bagaimanapun, ahli teologi dan apologis Ortodoks berpendapat bahawa doktrin mereka sejajar sepenuhnya dengan Bible, ditafsirkan melalui lensa tradisi kerasulan dan tulisan-tulisan Bapa-bapa Gereja (pemimpin Kristian awal seperti Athanasius, Basil Agung, dan John dari Damsyik).</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Di bawah, kami menggariskan percanggahan utama yang didakwa, berdasarkan Bible dan Bapa-bapa Gereja Ortodoks. Ini berdasarkan kritikan biasa dan bantahan Ortodoks. Perhatikan bahawa Bapa-bapa Gereja adalah asas kepada Ortodoksi, jadi mereka sering dipetik untuk menyokong pendirian Ortodoks, walaupun tafsiran berbeza-beza. Kami telah menumpukan pada pengesahan daripada sumber utama jika boleh, mewakili kedua-dua belah pihak untuk keseimbangan.</w:t>
      </w:r>
    </w:p>
    <w:p w14:paraId="5AFBB15D" w14:textId="77777777" w:rsidR="00DB310C" w:rsidRPr="00DB310C" w:rsidRDefault="00DB310C" w:rsidP="006C204B">
      <w:pPr>
        <w:pStyle w:val="Heading1"/>
      </w:pPr>
      <w:r>
        <w:t>1. Autoriti Tradisi vs. Kitab Suci Sahaja</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Dakwaan Percanggahan (Pandangan Pengkritik): Agama Kristian Ortodoks mengangkat &amp;quot;Tradisi Suci&amp;quot; (termasuk majlis ekumenikal, tulisan Bapa Gereja, liturgi, dan ikon) kepada autoriti yang setaraf dengan Bible, yang menurut pengkritik membatalkan ketuanan Kitab Suci dan membawa kepada doktrin buatan manusia. Ini bercanggah dengan gambaran Perjanjian Baru tentang Kitab Suci sebagai mencukupi dan diilhamkan oleh Tuhan, tanpa memerlukan sumber tambahan yang tidak dapat salah. Contohnya, 2 Timotius 3:16-17 menyatakan: &amp;quot;Segala Kitab Suci diilhamkan oleh Tuhan dan berguna untuk mengajar, untuk menegur, untuk membetulkan dan untuk melatih dalam kebenaran, supaya hamba Tuhan diperlengkapi sepenuhnya untuk setiap pekerjaan yang baik.&amp;quot; Pengkritik berpendapat bahawa ini menjadikan tradisi di luar alkitabiah tidak perlu, mengulangi teguran Yesus terhadap orang Farisi kerana mengutamakan tradisi berbanding Firman Tuhan (Markus 7:13: &amp;quot;Dengan demikian kamu membatalkan firman Tuhan dengan tradisi yang telah kamu turun-temurunkan&amp;quot;).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Sanggahan Ortodoks: Tradisi tidak terpisah daripada atau di atas Kitab Suci tetapi merangkuminya, seperti yang diperintahkan oleh Bible sendiri untuk berpegang pada ajaran kerasulan lisan dan bertulis. 2 Tesalonika 2:15 memberi arahan: &amp;quot;Berdiri teguh dan berpegang teguh pada ajaran yang telah kami sampaikan kepadamu, baik secara lisan mahupun secara surat.&amp;quot; Bapa-bapa Gereja seperti Basil Agung (c. 330–379 Masihi) dalam Mengenai Roh Kudus (Bab 27) mengesahkan tradisi yang tidak bertulis (contohnya, tanda salib) sebagai mempunyai kuasa kerasulan yang setara dengan Kitab Suci, dengan alasan ia diturunkan untuk mencegah kerosakan doktrin. Sumber Ortodoks menekankan bahawa Gereja menyusun kanun Perjanjian Baru melalui tradisi (contohnya, melalui majlis seperti Carthage pada tahun 397 Masihi), jadi menolak tradisi menjejaskan autoriti Bible itu sendiri. Mereka melihat penekanan pada Kitab Suci sahaja sebagai membawa kepada kekacauan tafsiran, kerana Bible tidak mentafsirkan diri sendiri tanpa konteks Gereja.</w:t>
      </w:r>
    </w:p>
    <w:p w14:paraId="429BC433" w14:textId="77777777" w:rsidR="00DB310C" w:rsidRPr="00DB310C" w:rsidRDefault="00DB310C" w:rsidP="006C204B">
      <w:pPr>
        <w:pStyle w:val="Heading1"/>
      </w:pPr>
      <w:r>
        <w:t>2. Keselamatan sebagai Sinergi (Kerjasama dengan Rahmat) vs. Iman Sahaja</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Dakwaan Percanggahan (Pandangan Pengkritik): Ortodoksi mengajarkan keselamatan sebagai proses yang melibatkan kerjasama manusia dengan rahmat Tuhan (sinergi), termasuk perbuatan seperti sakramen dan amalan asketik, yang membawa kepada &amp;quot;pendewaan&amp;quot; (teosis, menjadi seperti Tuhan). Ini didakwa bercanggah dengan penekanan Perjanjian Baru tentang keselamatan hanya melalui iman, selain daripada perbuatan. Efesus 2:8-9 mengisytiharkan: &amp;quot;Sebab oleh rahmat kamu telah diselamatkan, melalui iman—dan ini bukan daripada kamu sendiri, tetapi adalah pemberian Tuhan—bukan oleh perbuatan, supaya tiada siapa yang boleh bermegah.&amp;quot; Pengkritik merujuk kepada Roma 3:28 (&amp;quot;Seseorang dibenarkan oleh iman selain daripada perbuatan hukum&amp;quot;) dan berhujah Ortodoksi mengelirukan pembenaran (pengisytiharan kebenaran serta-merta) dengan pengudusan (pertumbuhan berterusan), yang berpotensi mengutuk jiwa dengan menambah usaha manusia.</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Keselamatan adalah melalui rahmat, tetapi iman adalah aktif dan bekerjasama, kerana Bible mengintegrasikan iman dan perbuatan tanpa pemisahan. Yakobus 2:24 menyatakan: &amp;quot;Kamu lihat, bahawa seseorang dianggap benar oleh perbuatan mereka dan bukan hanya oleh iman,&amp;quot; dan ayat 26 menambah: &amp;quot;Seperti tubuh tanpa roh adalah mati, begitu juga iman tanpa perbuatan adalah mati.&amp;quot; Bapa-bapa Gereja seperti Athanasius (c. 296–373 Masihi) dalam On the Incarnation menggambarkan teosis sebagai pemulihan manusia melalui inkarnasi Kristus, bukan jasa yang diperoleh tetapi penyertaan dalam kehidupan ilahi (2 Petrus 1:4: &amp;quot;Supaya kamu boleh mengambil bahagian dalam sifat ilahi&amp;quot;). Ortodoks menjelaskan bahawa perbuatan adalah buah rahmat, bukan jasa, dan memetik Filipi 2:12-13 (&amp;quot;Kerjakan keselamatanmu dengan takut dan gementar, kerana Tuhanlah yang bekerja di dalam kamu&amp;quot;) untuk menunjukkan sinergi ilahi-manusia. Mereka berpendapat &amp;quot;hanya iman&amp;quot; mengabaikan kesaksian alkitabiah yang penuh dan berisiko antinomianisme (ketidakadilan hukum).</w:t>
      </w:r>
    </w:p>
    <w:p w14:paraId="07FD2C26" w14:textId="77777777" w:rsidR="00DB310C" w:rsidRPr="00DB310C" w:rsidRDefault="00DB310C" w:rsidP="006C204B">
      <w:pPr>
        <w:pStyle w:val="Heading1"/>
      </w:pPr>
      <w:r>
        <w:t>3. Penghormatan Ikon dan Orang Suci vs. Larangan Penyembahan Berhala</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yang Didakwa (Pandangan Pengkritik): Amalan Ortodoks seperti tunduk, mencium, atau berdoa di hadapan ikon orang suci dan Maria dilihat sebagai penyembahan berhala atau pemujaan, yang bertentangan dengan ketiadaan amalan sedemikian dalam Perjanjian Baru dan perintah Perjanjian Lama terhadap patung ukiran. Keluaran 20:4-5 (dirujuk dalam konteks Perjanjian Baru) memberi amaran: &amp;quot;Janganlah membuat bagimu berhala... Janganlah sujud menyembahnya atau menyembahnya.&amp;quot; Pengkritik menyatakan tiada preseden Perjanjian Baru untuk memanggil orang suci sebagai pendoa syafaat, memetik 1 Timotius 2:5: &amp;quot;Kerana hanya ada satu Tuhan dan satu pengantara antara Tuhan dan manusia, iaitu manusia Kristus Yesus.&amp;quot;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Sanggahan Ortodoks: Penghormatan (dulia) menghormati orang-orang kudus sebagai sesama anggota tubuh Kristus, berbeza daripada penyembahan (latria) yang dikhaskan untuk Tuhan, dan ikon adalah tingkap kepada yang ilahi, bukan berhala. Bible menggambarkan penghormatan, seperti Wahyu 5:8 (penatua mempersembahkan doa kepada orang-orang kudus) dan Ibrani 12:1 (awan saksi). Bapa Gereja Yohanes dari Damsyik (kira-kira 675–749 Masihi) dalam On the Divine Images mempertahankan ikon terhadap ikonoklasme, memetik penjelmaan: sejak Tuhan menjadi kelihatan dalam Kristus (Yohanes 1:14), menggambarkan-Nya menghormati realiti kemanusiaan-Nya. Ortodoks menunjukkan preseden Perjanjian Lama seperti kerub di atas Tabut (Keluaran 25:18-22) dan berpendapat bahawa Perjanjian Baru memenuhi, bukan menghapuskan, simbolisme sedemikian. Berdoa &amp;quot;kepada&amp;quot; orang-orang kudus bermaksud meminta syafaat mereka, seperti dalam permintaan duniawi (Yakobus 5:16: &amp;quot;Berdoalah antara satu sama lain&amp;quot;).</w:t>
      </w:r>
    </w:p>
    <w:p w14:paraId="61665421" w14:textId="77777777" w:rsidR="00DB310C" w:rsidRPr="00DB310C" w:rsidRDefault="00DB310C" w:rsidP="006C204B">
      <w:pPr>
        <w:pStyle w:val="Heading1"/>
      </w:pPr>
      <w:r>
        <w:t>4. Pandangan tentang Dosa Asal dan Sifat Manusia</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Dakwaan Percanggahan (Pandangan Pengkritik): Ortodoksi mengajarkan &amp;quot;dosa nenek moyang&amp;quot; (manusia mewarisi kematian dan kecenderungan untuk berdosa daripada Adam, tetapi bukan rasa bersalah peribadi), menolak kebejatan total atau rasa bersalah yang dipersalahkan. Ini dikatakan melembutkan gambaran Perjanjian Baru tentang perhambaan manusia, sekali gus mengurangkan keperluan untuk penebusan Kristus. Roma 5:12,18 menyatakan: &amp;quot;Dosa telah masuk ke dalam dunia melalui satu orang, dan melalui dosa juga maut... akibat pelanggaran satu orang itu membawa kutukan kepada semua orang.&amp;quot;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Sanggahan Ortodoks: Kejatuhan membawa kematian dan kerosakan, tetapi rasa bersalah adalah peribadi (Yehezkiel 18:20: &amp;quot;Orang yang berdosa itulah yang akan mati&amp;quot;). Bapa Gereja Irenaeus (kira-kira 130–202 Masihi) dalam Against Heresies menggambarkan dosa Adam sebagai menjangkiti manusia dengan kelemahan, bukan kutukan automatik, menekankan rekapitulasi Kristus untuk menyembuhkannya. Ortodoks memetik Mazmur 51:5 (&amp;quot;Sesungguhnya aku berdosa sejak lahir&amp;quot;) sebagai puitis, bukan rasa bersalah doktrin, dan berpendapat pandangan mereka selaras dengan seruan Perjanjian Baru untuk bertaubat tanpa menganggap kutukan universal sejak lahir.</w:t>
      </w:r>
    </w:p>
    <w:p w14:paraId="077F2DF8" w14:textId="77777777" w:rsidR="00DB310C" w:rsidRPr="00DB310C" w:rsidRDefault="00DB310C" w:rsidP="006C204B">
      <w:pPr>
        <w:pStyle w:val="Heading1"/>
      </w:pPr>
      <w:r>
        <w:t>5. Sakramen (contohnya, Ekaristi dan Pengakuan Dosa) sebagai Penting vs. Simbolik</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Dakwaan Percanggahan (Pandangan Pengkritik): Ortodoksi memandang Ekaristi sebagai Tubuh dan Darah Kristus yang sebenar (peringatan korban yang diulang) dan memerlukan pengakuan dosa kepada para imam untuk pengampunan, yang bertentangan dengan pengorbanan sekali sahaja dalam Perjanjian Baru dan akses langsung kepada Tuhan. Ibrani 10:10,14: &amp;quot;Kita telah dikuduskan oleh pengorbanan tubuh Yesus Kristus sekali untuk selama-lamanya... oleh satu korban sahaja Dia telah menyempurnakan mereka yang dikuduskan untuk selama-lamanya.&amp;quot; 1 Yohanes 1:9 menjanjikan pengakuan dosa secara langsung kepada Tuhan.</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Sanggahan Ortodoks: Ekaristi adalah penyertaan dalam pengorbanan kekal Kristus (Ibrani 13:8: &amp;quot;Yesus Kristus adalah sama semalam dan hari ini dan selama-lamanya&amp;quot;), bukan pengorbanan semula, menurut Yohanes 6:53-56 (&amp;quot;Jika kamu tidak makan daging Anak Manusia dan minum darah-Nya, kamu tidak mempunyai hidup di dalam dirimu&amp;quot;). Bapa Gereja Ignatius dari Antiokhia (kira-kira 35–107 Masihi) dalam Surat kepada Jemaat Smirna menggelarnya &amp;quot;ubat keabadian.&amp;quot; Pengakuan dosa kepada para imam menggenapi Yakobus 5:16 dan Yohanes 20:23 (Kristus memberikan kuasa kepada para rasul untuk mengampuni dosa). Ortodoks melihat sakramen sebagai sesuatu yang diresapi rahmat, bukan simbolik, selaras dengan amalan Gereja awal.</w:t>
      </w:r>
    </w:p>
    <w:p w14:paraId="5E18E893" w14:textId="77777777" w:rsidR="00DB310C" w:rsidRPr="00DB310C" w:rsidRDefault="00DB310C" w:rsidP="006C204B">
      <w:pPr>
        <w:pStyle w:val="Heading1"/>
      </w:pPr>
      <w:r>
        <w:t>6. Kanon Alkitab (Kemasukan Kitab-kitab Deuteronomikal)</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Dakwaan Percanggahan (Pandangan Pengkritik): Bible Ortodoks merangkumi buku-buku seperti Tobit dan Makabe (Apokrifa dalam beberapa pandangan), yang tidak dipetik dalam Perjanjian Baru sebagai berwibawa dan mengandungi dakwaan kesalahan doktrin (contohnya, doa untuk orang mati dalam 2 Makabe 12). Ini memperluas kanon melangkaui Kitab Suci Ibrani yang digunakan oleh Yesus, bercanggah dengan Perjanjian Lama yang tersirat dengan 39 buku dalam Perjanjian Baru.</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Sanggahan Ortodoks: Septuaginta (Perjanjian Lama Yunani, termasuk kitab-kitab ini) telah digunakan oleh Yesus dan para rasul (contohnya, Ibrani 11:35 merujuk kepada 2 Makabe 7). Bapa-bapa Gereja seperti Athanasius menyenaraikan kitab-kitab ini dalam Surat Perayaan ke-39 (367 Masihi) sebagai kitab yang membina, dan majlis-majlis mengesahkannya. Ortodoks berpendapat bahawa penyingkiran kitab-kitab ini adalah satu inovasi, dan kitab-kitab tersebut menyokong doktrin seperti syafaat (selaras dengan Wahyu 8:3-4).</w:t>
      </w:r>
    </w:p>
    <w:p w14:paraId="3F5D36B8" w14:textId="61F00B9B" w:rsidR="006A6982" w:rsidRDefault="00DB310C" w:rsidP="006C204B">
      <w:pPr>
        <w:shd w:val="clear" w:color="auto" w:fill="FFFFFF"/>
        <w:spacing w:after="240" w:line="240" w:lineRule="auto"/>
      </w:pPr>
      <w:r>
        <w:t>Secara ringkasnya, &amp;quot;percanggahan&amp;quot; ini sering berpunca daripada hermeneutik yang berbeza: perspektif yang menekankan Kitab Suci sahaja mengutamakan tafsiran individu, manakala Ortodoks menekankan tradisi komunal yang dipandu oleh Bapa-bapa dan Roh Kudus. Sumber Ortodoks berpendapat amalan mereka merangkumi agama Kristian Perjanjian Baru, manakala pengkritik melihat pertambahan pasca-rasuah. Untuk penerokaan yang lebih mendalam, rujuk teks utama seperti Philokalia (tulisan Bapa-bapa). Kesarjanaan sejarah, seperti yang dipertahankan dalam konteks Ortodoks, boleh menjelaskan perkara ini dengan mengkaji Judaisme Bait Suci Kedua dan amalan Gereja awal.</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