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Kritikan Komprehensif terhadap Islam dari Perspektif Kristian Perjanjian Baru</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Dokumen ini menyusun dan mensintesiskan perkara-perkara penting daripada perbincangan tentang percanggahan antara Islam (seperti yang dibentangkan dalam Al-Quran) dan Kristian Perjanjian Baru (seperti dalam Bible), serta dakwaan ketidakkonsistenan dalaman dalam Al-Quran itu sendiri. Analisis ini hanya mengambil daripada kitab suci yang disebut, menonjolkan perbezaan yang tidak dapat didamaikan dan potensi kelemahan. Walaupun para sarjana Islam menawarkan tafsiran untuk menyelesaikan isu-isu ini (contohnya, melalui pembatalan atau konteks), kritikan ini menggunakan lensa Perjanjian Baru, melihat dakwaan Al-Quran sebagai penyimpangan daripada wahyu alkitabiah yang berpusat pada Yesus.</w:t>
      </w:r>
    </w:p>
    <w:p w14:paraId="7747851E" w14:textId="77777777" w:rsidR="00DE371E" w:rsidRPr="00DE371E" w:rsidRDefault="00DE371E" w:rsidP="000A4419">
      <w:pPr>
        <w:pStyle w:val="Heading1"/>
      </w:pPr>
      <w:r>
        <w:t>1. Percanggahan Teras Antara Al-Quran dan Perjanjian Baru</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Perkara-perkara ini mendedahkan perbezaan asas di mana Al-Quran secara langsung bercanggah atau mentafsir semula doktrin Perjanjian Baru, sering menggambarkan kepercayaan Kristian sebagai penyelewengan (contohnya, Surah 2:79). Dari sudut pandangan Kristian, ini meletakkan Al-Quran sebagai teks terkemudian yang mengubah wahyu yang telah ditetapkan.</w:t>
      </w:r>
    </w:p>
    <w:p w14:paraId="363FC268" w14:textId="77777777" w:rsidR="00DE371E" w:rsidRPr="00DE371E" w:rsidRDefault="00DE371E" w:rsidP="000A4419">
      <w:pPr>
        <w:pStyle w:val="Heading2"/>
      </w:pPr>
      <w:r>
        <w:t>Sifat dan Ketuhanan Yesus</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&amp;quot;Pada mulanya adalah Firman; Firman itu bersama-sama dengan Allah; Firman itu adalah Allah... Firman itu menjadi manusia dan diam di antara kita.&amp;quot; (Yohanes 1:1, 14) &amp;quot;Karena begitu besar kasih Allah akan dunia ini, sehingga Ia telah mengaruniakan Anak-Nya yang tunggal, supaya setiap orang yang percaya kepada-Nya tidak binasa, melainkan beroleh hidup yang kekal.&amp;quot; (Yohanes 3:16) &amp;quot;Aku dan Bapa adalah satu.&amp;quot; (Yohanes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Quran: &amp;quot;Wahai Ahli Kitab, janganlah kamu berlebih-lebihan dalam agamamu dan janganlah kamu mengatakan terhadap Allah kecuali yang benar. Sesungguhnya Al-Masih, Isa putra Maryam, hanyalah seorang utusan Allah dan firman-Nya yang Dia sampaikan kepada Maryam dan jiwa [yang diciptakan atas perintah] dari-Nya. Maka berimanlah kepada Allah dan para rasul-Nya. Dan janganlah kamu mengatakan, &amp;#39;Tiga&amp;#39;; berhentilah - itu lebih baik bagimu. Sesungguhnya Allah hanyalah Tuhan yang Esa. Maha Tinggi Dia daripada mempunyai anak.&amp;quot; (Surah 4:171) Allah bertanya kepada Isa, &amp;quot;Adakah kamu berkata kepada manusia, &amp;#39;Ambillah aku dan ibuku sebagai tuhan selain Allah?&amp;#39;&amp;quot; Isa menafikannya. (Surah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Perjanjian Baru mengesahkan ketuhanan dan kedudukan Yesus sebagai anak, manakala Al-Quran secara jelas menafikannya, menyifatkan kepercayaan sedemikian sebagai berlebihan atau politeistik.</w:t>
      </w:r>
    </w:p>
    <w:p w14:paraId="72548FD0" w14:textId="77777777" w:rsidR="00DE371E" w:rsidRPr="00DE371E" w:rsidRDefault="00DE371E" w:rsidP="000A4419">
      <w:pPr>
        <w:pStyle w:val="Heading2"/>
      </w:pPr>
      <w:r>
        <w:t>Penyaliban dan Kematian Yesus</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(Bible): Menggambarkan penyaliban dan Yesus menyerahkan roh-Nya (kematian). (Matius 27:35, 50) &amp;quot;Kerana yang paling utama telah kusampaikan kepadamu, iaitu apa yang telah kuterima juga, iaitu bahawa Kristus telah mati untuk dosa-dosa kita, menurut Kitab Suci, dan bahawa Dia telah dikuburkan, dan bahawa Dia telah bangkit semula pada hari yang ketiga, menurut Kitab Suci.&amp;quot; (1 Korintus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&amp;quot;Dan [kerana] ucapan mereka, &amp;#39;Sesungguhnya kami telah membunuh Al-Masih, Isa, putera Maryam, utusan Allah.&amp;#39; Dan mereka tidak membunuhnya, dan tidak pula mereka menyalibnya, tetapi [orang lain] dijadikan menyerupainya bagi mereka. Dan sesungguhnya orang-orang yang berselisih pendapat tentangnya, mereka ragu-ragu mengenainya. Mereka tidak mempunyai pengetahuan tentangnya kecuali berdasarkan sangkaan. Dan mereka tidak membunuhnya, sungguh.&amp;quot; (Surah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Perjanjian Baru memperincikan kematian sebenar Yesus melalui penyaliban sebagai inti pati keselamatan, sementara Al-Quran menafikan peristiwa itu berlaku, mengaitkannya dengan ilusi atau penggantian.</w:t>
      </w:r>
    </w:p>
    <w:p w14:paraId="72B6ACFD" w14:textId="77777777" w:rsidR="00DE371E" w:rsidRPr="00DE371E" w:rsidRDefault="00DE371E" w:rsidP="000A4419">
      <w:pPr>
        <w:pStyle w:val="Heading2"/>
      </w:pPr>
      <w:r>
        <w:t>Konsep Triniti</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&amp;quot;Karena itu pergilah, jadikanlah semua bangsa murid-Ku dan baptislah mereka dalam nama Bapa dan Anak dan Roh Kudus.&amp;quot; (Matius 28:19) &amp;quot;Semoga rahmat Tuhan Yesus Kristus, dan kasih Allah, dan persekutuan Roh Kudus menyertai kamu semua.&amp;quot; (2 Korintus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&amp;quot;Sesungguhnya telah kafirlah orang-orang yang berkata, &amp;#39;Allah adalah yang ketiga daripada yang tiga.&amp;#39; Dan sekali-kali tidak ada Tuhan melainkan Tuhan Yang Maha Esa. Dan jika mereka tidak berhenti daripada apa yang mereka katakan itu, nescaya orang-orang kafir di antara mereka akan ditimpa azab yang pedih.&amp;quot; (Surah 5:73) Secara jelas memerintahkan supaya jangan mengatakan &amp;quot;Tiga.&amp;quot; (Surah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Perjanjian Baru menyokong pemahaman Tritunggal tentang Tuhan, manakala Al-Quran mengutuknya sebagai ketidakpercayaan dan menyamakannya dengan politeisme.</w:t>
      </w:r>
    </w:p>
    <w:p w14:paraId="7022FE00" w14:textId="77777777" w:rsidR="00DE371E" w:rsidRPr="00DE371E" w:rsidRDefault="00DE371E" w:rsidP="000A4419">
      <w:pPr>
        <w:pStyle w:val="Heading2"/>
      </w:pPr>
      <w:r>
        <w:t>Keselamatan dan Penebusan</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&amp;quot;Kerana semua orang telah berbuat dosa dan telah kehilangan kemuliaan Allah, tetapi dibenarkan dengan cuma-cuma oleh kasih karunia-Nya melalui penebusan dalam Kristus Yesus.&amp;quot; (Roma 3:23-24) &amp;quot;Sebab oleh kasih karunia kamu diselamatkan oleh iman; itu bukan hasil usahamu sendiri, tetapi pemberian Allah, bukan hasil pekerjaanmu: jangan ada orang yang memegahkan diri.&amp;quot; (Efesus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&amp;quot;Bahawa seorang yang berdosa tidak akan memikul dosa orang lain. Dan bahawa tiada bagi manusia melainkan apa yang diusahakannya.&amp;quot; (Surah 53:38-39) &amp;quot;Allah tidak memikul seseorang melainkan apa yang terdaya olehnya. Ia akan mendapat apa yang telah diusahakannya, dan ia akan menanggung apa yang telah diusahakannya.&amp;quot; (Surah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Perjanjian Baru mengaitkan keselamatan dengan pengorbanan Yesus untuk dosa yang diwarisi, sementara Al-Quran menekankan tanggungjawab individu tanpa penebusan vikarius.</w:t>
      </w:r>
    </w:p>
    <w:p w14:paraId="43F7EF3E" w14:textId="77777777" w:rsidR="00DE371E" w:rsidRPr="00DE371E" w:rsidRDefault="00DE371E" w:rsidP="00055F2D">
      <w:pPr>
        <w:pStyle w:val="Heading2"/>
      </w:pPr>
      <w:r>
        <w:t>Peranan Nabi dan Kitab Suci Terdahulu</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Perjanjian Baru (Alkitab): &amp;quot;Allah, yang pada zaman dahulu kala telah berfirman kepada nenek moyang kita dengan perantaraan para nabi, tetapi pada zaman akhir ini telah berfirman kepada kita dengan perantaraan Anak-Nya.&amp;quot; (Ibrani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Al-Quran: &amp;quot;Dan Kami telah mengutus Isa putera Maryam, mengikut jejak langkah mereka, untuk mengesahkan kitab Taurat yang telah diturunkan sebelum dia; dan Kami telah memberikan kepadanya Injil... Maka hendaklah Ahli Injil itu memutuskan perkara menurut apa yang telah diturunkan Allah di dalamnya.&amp;quot; (Surah 5:46-47) &amp;quot;Muhammad bukanlah bapa kepada salah seorang daripada kamu, tetapi dia adalah Rasul Allah dan penutup para nabi.&amp;quot; (Surah 33:40) Memberi amaran terhadap mereka yang &amp;quot;menulis Kitab Suci dengan tangan mereka sendiri, kemudian berkata, &amp;#39;Ini adalah dari sisi Allah,&amp;#39;&amp;quot; yang bermaksud penyelewengan teks-teks terdahulu. (Surah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Percanggahan: Perjanjian Baru meletakkan Yesus sebagai wahyu muktamad tanpa pengganti, manakala Al-Quran memperkenalkan Muhammad sebagai nabi terakhir dan mencadangkan bahawa Bible (termasuk Injil Perjanjian Baru) telah dirosakkan, justeru memerlukan Al-Quran.</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Percanggahan ini berpunca secara langsung daripada dakwaan teks yang berbeza mengenai tokoh dan doktrin yang dikongsi bersama. Perjanjian Baru berpusat pada Yesus sebagai penyelamat ilahi, manakala Al-Quran menegakkan monoteisme tanpa penjelmaan atau triniti, melihat kepercayaan Kristian sebagai penyimpangan.</w:t>
      </w:r>
    </w:p>
    <w:p w14:paraId="60665C2A" w14:textId="77777777" w:rsidR="00DE371E" w:rsidRPr="00DE371E" w:rsidRDefault="00DE371E" w:rsidP="000A4419">
      <w:pPr>
        <w:pStyle w:val="Heading1"/>
      </w:pPr>
      <w:r>
        <w:t>2. Ketidakselarasan Dalaman Dalam Al-Quran</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Ini adalah titik-titik di mana ayat-ayat kelihatan bercanggah mengenai perkara teologi, sejarah, atau kosmologi yang hanya berdasarkan teks. Cendekiawan Islam sering menyelesaikannya melalui konsep seperti pembatalan (naskh), tafsiran kontekstual, atau nuansa linguistik.</w:t>
      </w:r>
    </w:p>
    <w:p w14:paraId="2F099B0A" w14:textId="77777777" w:rsidR="00DE371E" w:rsidRPr="00DE371E" w:rsidRDefault="00DE371E" w:rsidP="00055F2D">
      <w:pPr>
        <w:pStyle w:val="Heading2"/>
      </w:pPr>
      <w:r>
        <w:t>Garis Masa Penciptaan: Bilangan Hari untuk Langit dan Bumi</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&amp;quot;Penjaga kamu ialah Allah yang menciptakan langit dan bumi dalam enam masa.&amp;quot; (Surah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&amp;quot;Katakanlah: Patutkah kamu mengingkari Tuhan yang menciptakan bumi dalam dua hari?... Dia menjadikan di atas (bumi), gunung-ganang... dalam empat hari... Maka Dia menjadikan semuanya tujuh cakerawala dalam dua hari.&amp;quot; (Surah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Ketidakselarasan: Jumlah tempoh penciptaan dinyatakan sebagai enam hari dalam beberapa ayat, tetapi urutan terperinci dalam ayat lain berjumlah lapan.</w:t>
      </w:r>
    </w:p>
    <w:p w14:paraId="5E74222F" w14:textId="77777777" w:rsidR="00DE371E" w:rsidRPr="00DE371E" w:rsidRDefault="00DE371E" w:rsidP="00055F2D">
      <w:pPr>
        <w:pStyle w:val="Heading2"/>
      </w:pPr>
      <w:r>
        <w:t>Urutan Penciptaan: Bumi atau Langit Dahulu?</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&amp;quot;Adakah kamu yang lebih sukar diciptakan, ataukah langit yang dibina-Nya? Dia meninggikan ketinggiannya dan mengaturnya... Dan selepas itu Dia menghamparkan bumi.&amp;quot; (Surah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&amp;quot;Dialah yang menciptakan untuk kamu segala yang ada di bumi, kemudian Dia menuju ke langit, lalu menjadikan tujuh langit itu.&amp;quot; (Surah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Bermula dengan penciptaan bumi sebelum beralih ke langit. (Surah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Beberapa ayat menyiratkan bahawa langit diciptakan terlebih dahulu, diikuti oleh bumi, sementara yang lain menggambarkan bumi dibentuk sebelum langit.</w:t>
      </w:r>
    </w:p>
    <w:p w14:paraId="6142AD96" w14:textId="77777777" w:rsidR="00DE371E" w:rsidRPr="00DE371E" w:rsidRDefault="00DE371E" w:rsidP="00055F2D">
      <w:pPr>
        <w:pStyle w:val="Heading2"/>
      </w:pPr>
      <w:r>
        <w:t>Siapakah Muslim Pertama?</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&amp;quot;Katakanlah: Sesungguhnya aku diperintahkan supaya menjadi orang yang pertama-tama menyerahkan diri kepada Allah (sebagai orang Islam).&amp;quot; (Surah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&amp;quot;Dan aku diperintahkan supaya menjadi orang yang pertama-tama tunduk kepada Allah dalam Islam.&amp;quot; (Surah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Nabi Ibrahim berkata kepada anak-anaknya, &amp;quot;Sesungguhnya Allah telah memilih agama ini untuk kamu, maka janganlah kamu mati melainkan dalam agama Islam.&amp;quot; (Surah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Musa digambarkan sebagai orang pertama yang beriman setelah melihat tanda-tanda kekuasaan Allah. (Surah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Muhammad diperintahkan untuk menjadi Muslim &amp;quot;pertama&amp;quot;, tetapi nabi-nabi terdahulu seperti Ibrahim dan Musa juga digambarkan sebagai Muslim atau orang yang beriman pertama.</w:t>
      </w:r>
    </w:p>
    <w:p w14:paraId="3BDEC3A0" w14:textId="77777777" w:rsidR="00DE371E" w:rsidRPr="00DE371E" w:rsidRDefault="00DE371E" w:rsidP="00055F2D">
      <w:pPr>
        <w:pStyle w:val="Heading2"/>
      </w:pPr>
      <w:r>
        <w:t>Paksaan dalam Agama</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&amp;quot;Janganlah ada paksaan dalam agama, sesungguhnya telah jelas kebenaran daripada kesesatan.&amp;quot; (Surah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&amp;quot;Perangilah orang-orang yang tidak beriman kepada Allah dan tidak juga kepada hari akhirat... sehingga mereka membayar jizyah dengan pasrah, dan mereka merasa diri mereka tunduk.&amp;quot; (Surah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&amp;quot;Dan perangilah mereka sehingga tidak ada lagi huru-hara dan penindasan, dan sehingga tegaklah keadilan dan keimanan kepada Allah seluruhnya dan di mana-mana.&amp;quot; (Surah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Satu ayat melarang memaksa agama, sementara ayat lain memerintahkan memerangi orang kafir sehingga mereka tunduk atau membayar ufti.</w:t>
      </w:r>
    </w:p>
    <w:p w14:paraId="722BCE62" w14:textId="77777777" w:rsidR="00DE371E" w:rsidRPr="00DE371E" w:rsidRDefault="00DE371E" w:rsidP="00055F2D">
      <w:pPr>
        <w:pStyle w:val="Heading2"/>
      </w:pPr>
      <w:r>
        <w:t>Sumber Kejahatan dan Kesesatan</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&amp;quot;Jika mereka mendapat kebaikan, mereka berkata, &amp;#39;Ini dari sisi Allah&amp;#39;; tetapi jika mendapat kejahatan, mereka berkata, &amp;#39;Ini dari sisimu&amp;#39; (wahai Nabi). Katakanlah, &amp;#39;Semuanya dari sisi Allah.&amp;#39;&amp;quot; (Surah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&amp;quot;Apa sahaja kebaikan yang menimpamu, (wahai manusia!), adalah dari Allah; dan apa sahaja keburukan yang menimpamu, adalah dari dirimu sendiri.&amp;quot; (Surah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Mencari perlindungan daripada &amp;quot;kejahatan apa yang Dia ciptakan,&amp;quot; yang bermaksud Allah menciptakan kejahatan. (Surah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Kejahatan dikaitkan dengan Allah dalam beberapa konteks, tetapi di tempat lain semata-mata disebabkan oleh tindakan atau jiwa manusia.</w:t>
      </w:r>
    </w:p>
    <w:p w14:paraId="50E3F62D" w14:textId="77777777" w:rsidR="00DE371E" w:rsidRPr="00DE371E" w:rsidRDefault="00DE371E" w:rsidP="00055F2D">
      <w:pPr>
        <w:pStyle w:val="Heading2"/>
      </w:pPr>
      <w:r>
        <w:t>Syafaat pada Hari Penghakiman</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&amp;quot;Maka peliharalah dirimu dari hari yang mana seseorang tidak dapat menyelamatkan orang lain dan tidak akan diterima syafaatnya.&amp;quot; (Surah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&amp;quot;Maka peliharalah dirimu dari suatu hari yang padanya seseorang tidak dapat menyelamatkan orang lain, dan tidak diterima tebusan daripadanya dan tidak bermanfaat baginya syafaat.&amp;quot; (Surah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&amp;quot;Pada hari itu tidak berguna syafaat kecuali bagi orang-orang yang telah diizinkan oleh (Allah) Yang Maha Pemurah.&amp;quot; (Surah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Syafaat ditolak sama sekali dalam beberapa ayat tetapi dibenarkan dengan izin Allah dalam ayat-ayat lain.</w:t>
      </w:r>
    </w:p>
    <w:p w14:paraId="77CAC502" w14:textId="77777777" w:rsidR="00DE371E" w:rsidRPr="00DE371E" w:rsidRDefault="00DE371E" w:rsidP="00055F2D">
      <w:pPr>
        <w:pStyle w:val="Heading2"/>
      </w:pPr>
      <w:r>
        <w:t>Menanggung Beban Dosa</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&amp;quot;Orang yang menanggung beban tidak dapat menanggung beban orang lain.&amp;quot; (Surah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&amp;quot;Seseorang yang berdosa tidak akan memikul dosa orang lain.&amp;quot; (Surah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&amp;quot;Hendaklah mereka memikul sepenuhnya dosa-dosa mereka pada hari kiamat, dan juga sebahagian daripada dosa-dosa orang-orang yang tidak mengetahui apa-apa yang mereka sesatkan.&amp;quot; (Surah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Tiada siapa yang dapat menanggung dosa orang lain, namun penyesat akan menanggung beban tambahan daripada orang yang telah mereka tipu.</w:t>
      </w:r>
    </w:p>
    <w:p w14:paraId="0CBD31BF" w14:textId="77777777" w:rsidR="00DE371E" w:rsidRPr="00DE371E" w:rsidRDefault="00DE371E" w:rsidP="00055F2D">
      <w:pPr>
        <w:pStyle w:val="Heading2"/>
      </w:pPr>
      <w:r>
        <w:t>Wain: Diharamkan di Bumi tetapi di Syurga</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&amp;quot;Wahai orang-orang yang beriman! Sesungguhnya khamar dan judi... adalah satu perbuatan yang keji—daripada perbuatan Syaitan, maka jauhilah perbuatan yang demikian.&amp;quot; (Surah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&amp;quot;Di dalamnya [Syurga] terdapat sungai-sungai air... sungai-sungai susu... sungai-sungai arak, menjadi kegembiraan bagi orang-orang yang meminumnya.&amp;quot; (Surah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Menggambarkan wain syurgawi sebagai tulen dan tidak memabukkan. (Surah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Wain dikutuk sebagai kejahatan di bumi, tetapi dijanjikan sebagai ganjaran di syurga.</w:t>
      </w:r>
    </w:p>
    <w:p w14:paraId="17BE6DFB" w14:textId="77777777" w:rsidR="00DE371E" w:rsidRPr="00DE371E" w:rsidRDefault="00DE371E" w:rsidP="00055F2D">
      <w:pPr>
        <w:pStyle w:val="Heading2"/>
      </w:pPr>
      <w:r>
        <w:t>Bilangan Malaikat dalam Perang Badar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 telah membantu kamu di Badar... Aku akan membantu kamu dengan seribu malaikat, barisan demi barisan.&amp;quot; (Surah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&amp;quot;Ya,—jika kamu tetap teguh... Tuhanmu akan membantu kamu dengan lima ribu malaikat yang melakukan serangan yang dahsyat.&amp;quot; (Surah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Bilangan bantuan malaikat berbeza-beza antara 1,000, 3,000, atau 5,000 dalam ayat-ayat dekat.</w:t>
      </w:r>
    </w:p>
    <w:p w14:paraId="23F8B16F" w14:textId="77777777" w:rsidR="00DE371E" w:rsidRPr="00DE371E" w:rsidRDefault="00DE371E" w:rsidP="00055F2D">
      <w:pPr>
        <w:pStyle w:val="Heading2"/>
      </w:pPr>
      <w:r>
        <w:t>Siapakah yang Mengambil Jiwa ketika Mati?</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&amp;quot;Allah-lah yang mengambil nyawa (manusia) ketika mati.&amp;quot; (Surah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&amp;quot;Malaikat Maut yang ditugaskan untuk menjaga kamu akan mencabut nyawa kamu.&amp;quot; (Surah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&amp;quot;Maka bagaimana (keadaan mereka) apabila para malaikat mencabut nyawa mereka ketika mereka mati?&amp;quot; (Surah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Ketidakkonsistenan: Pengambilan nyawa dikaitkan secara langsung kepada Allah, seorang malaikat, atau beberapa malaikat.</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Contoh-contoh ini mengetengahkan aspek-aspek di mana teks al-Quran kelihatan bercanggah secara luaran. Walau bagaimanapun, tafsir Islam memberikan penyelarasan, melihat al-Quran sebagai satu keseluruhan yang padu yang diwahyukan selama 23 tahun.</w:t>
      </w:r>
    </w:p>
    <w:p w14:paraId="140F5B34" w14:textId="77777777" w:rsidR="00DE371E" w:rsidRPr="00DE371E" w:rsidRDefault="00DE371E" w:rsidP="000A4419">
      <w:pPr>
        <w:pStyle w:val="Heading1"/>
      </w:pPr>
      <w:r>
        <w:t>3. Kritikan Keseluruhan: Implikasi Teologi dan Logik</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Al-Quran muncul sebagai teks abad ke-7 yang menafsirkan semula unsur-unsur Yahudi-Kristian agar sesuai dengan kerangka monoteistik yang baharu, tetapi dengan berbuat demikian, ia mewujudkan konflik yang tidak dapat didamaikan dengan Perjanjian Baru. Secara teologi, penolakan Islam terhadap ketuhanan dan penebusan Yesus menjejaskan intipati injil Kristian—keselamatan melalui rahmat melalui pengorbanan Kristus. Secara logiknya, jika Al-Quran mengesahkan kebenaran asal Bible (Surah 5:46-47) namun mendakwa berlakunya kerosakan tanpa bukti, ia mengundang keraguan. Perbezaan dalaman selanjutnya mencadangkan pengaruh manusia, berbeza dengan penekanan Bible terhadap kebenaran yang tidak berubah: &amp;quot;Yesus Kristus adalah sama semalam dan hari ini dan selama-lamanya.&amp;quot; (Ibrani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Kritikan ini meletakkan Muhammad berpotensi sebagai nabi palsu, seperti yang diperingatkan dalam Bible: &amp;quot;Tetapi sekalipun kami atau seorang malaikat dari syurga memberitakan suatu injil yang lain daripada yang telah kami beritakan kepadamu, terkutuklah dia!&amp;quot; (Galatia 1:8)</w:t>
      </w:r>
    </w:p>
    <w:p w14:paraId="5BE6E157" w14:textId="77777777" w:rsidR="00DE371E" w:rsidRPr="00DE371E" w:rsidRDefault="00DE371E" w:rsidP="000A4419">
      <w:pPr>
        <w:pStyle w:val="Heading1"/>
      </w:pPr>
      <w:r>
        <w:t>4. Hipotesis: Apa yang Mungkin Dikatakan Yesus kepada Orang Islam, Berdasarkan Kata-kata Alkitabiah-Nya</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&amp;quot;Sebelum Abraham ada, Aku ada!&amp;quot; (Yohanes 8:58) &amp;quot;Aku dan Bapa adalah satu.&amp;quot; (Yohanes 10:30) &amp;quot;Sesiapa yang telah melihat Aku, telah melihat Bapa. Bagaimanakah kamu boleh berkata, &amp;#39;Tunjukkanlah Bapa kepada kami&amp;#39;?&amp;quot; (Yohanes 14:9) &amp;quot;Waspadalah terhadap nabi-nabi palsu. Mereka datang kepadamu dengan menyamar seperti domba, tetapi sebenarnya mereka serigala yang buas. Dari buahnya kamu akan mengenali mereka.&amp;quot; (Matius 7:15-16) &amp;quot;Kerana banyak nabi palsu akan muncul dan menyesatkan banyak orang.&amp;quot; (Matius 24:11) &amp;quot;Kerana mesias palsu dan nabi-nabi palsu akan muncul dan mereka akan mengadakan tanda-tanda dan mujizat-mujizat yang besar untuk menyesatkan, jika mungkin, orang-orang pilihan juga.&amp;quot; (Matius 24:24) &amp;quot;Celakalah kamu, jika semua orang memuji kamu, kerana begitulah nenek moyang mereka memperlakukan nabi-nabi palsu.&amp;quot; (Lukas 6:26) &amp;quot;Akulah jalan dan kebenaran dan hidup. Tidak ada seorang pun yang datang kepada Bapa, kecuali melalui Aku.&amp;quot; (Yohanes 14:6) &amp;quot;Akulah pintu gerbang; barangsiapa masuk melalui Aku, ia akan diselamatkan.&amp;quot; (Yohanes 10:9) &amp;quot;Aku berkata kepadamu, sesungguhnya barangsiapa mendengar firman-Ku dan percaya kepada Dia yang mengutus Aku, ia mempunyai hidup yang kekal dan tidak akan dihakimi, melainkan telah pindah dari maut ke dalam hidup.&amp;quot; (Yohanes 5:24) &amp;quot;Karena begitu besar kasih Allah akan dunia ini, sehingga Ia telah mengaruniakan Anak-Nya yang tunggal, supaya barangsiapa yang percaya kepada-Nya tidak binasa, melainkan beroleh hidup yang kekal. Sebab Allah mengutus Anak-Nya ke dalam dunia bukan untuk menghakimi dunia, tetapi untuk menyelamatkan dunia melalui Dia. Barangsiapa yang percaya kepada-Nya tidak akan dihukum; tetapi barangsiapa yang tidak percaya, ia telah berada di bawah hukuman, sebab ia tidak percaya dalam nama Anak Tunggal Allah.&amp;quot; (Yohanes 3:16-18) &amp;quot;Marilah kepada-Ku, semua yang letih lesu dan berbeban berat, dan Aku akan memberi kamu kelegaan.&amp;quot; (Matius 11:28)</w:t>
      </w:r>
    </w:p>
    <w:p w14:paraId="4B4F2C9C" w14:textId="77777777" w:rsidR="009F4079" w:rsidRPr="009F4079" w:rsidRDefault="009F4079" w:rsidP="009F4079">
      <w:pPr>
        <w:pStyle w:val="Heading1"/>
      </w:pPr>
      <w:r>
        <w:t>5. Hipotesis: Apa yang Mungkin Dikatakan oleh Para Rasul kepada Orang Islam, Berdasarkan Kata-kata Alkitab Mereka</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rasul—saksi mata Kristus yang telah bangkit dan pengasas Gereja—berulang kali memberi amaran terhadap sebarang mesej yang mengurangkan ketuhanan Yesus, mengubah injil rahmat, atau memperkenalkan wahyu &amp;quot;baharu&amp;quot; yang bercanggah dengan apa yang telah mereka terima terus daripada-Nya. Dari perspektif Perjanjian Baru, penafian al-Quran tentang penyaliban, Triniti, dan keselamatan melalui Kristus sahaja akan mencetuskan teguran paling keras mereka sebagai &amp;quot;injil lain&amp;quot; dan penafian terhadap Anak.</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Paulus (rasul kepada orang bukan Yahudi):</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&amp;quot;Aku hairan, bahawa kamu begitu cepat meninggalkan Dia, yang telah memanggil kamu oleh kasih karunia Kristus, dan berpaling kepada injil yang lain, yang sebenarnya bukanlah injil sama sekali. Jelas sekali ada orang yang mengacaukan kamu dan cuba memutarbelitkan injil Kristus. Tetapi sekalipun kami atau seorang malaikat dari sorga memberitakan suatu injil yang lain daripada yang telah kami beritakan kepadamu, biarlah dia dikutuk selama-lamanya!&amp;quot; (Galatia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&amp;quot;Seperti yang telah kami katakan, sekarang aku katakan sekali lagi: Jika ada orang yang memberitakan kepada kamu suatu Injil yang lain daripada yang telah kamu terima, biarlah dia dikutuk selama-lamanya!&amp;quot; (Galatia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&amp;quot;Hai orang Galatia yang bodoh! Siapakah yang telah menyihir kamu? Yesus Kristus telah digambarkan dengan jelas di hadapan mata kamu, sedang disalibkan. Hanya satu perkara yang ingin aku ketahui daripada kamu: Adakah kamu menerima Roh itu kerana melakukan hukum Taurat atau kerana kamu percaya kepada berita itu?&amp;quot; (Galatia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&amp;quot;Tetapi sekalipun kami atau seorang malaikat dari sorga memberitakan suatu Injil yang lain daripada yang telah kami beritakan kepadamu, terkutuklah dia!&amp;quot; (Galatia 1:8—diulang untuk penekanan, seperti yang diulangi oleh Paulus sendiri)</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&amp;quot;Siapakah pendusta itu? Barangsiapa yang menyangkal bahawa Yesus adalah Kristus. Orang seperti itu adalah antikristus, iaitu menyangkal Bapa dan Anak. Barangsiapa yang menyangkal Anak, tidak ada Bapa yang dimilikinya; barangsiapa yang mengakui Anak, ia juga mempunyai Bapa.&amp;quot; (1 Yohanes 2:22-23, menggemakan teologi Paulus)</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Petrus (batu karang yang di atasnya Kristus membangun gereja-Nya):</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&amp;quot;Tetapi dahulu ada juga nabi-nabi palsu di antara umat manusia, sama seperti di antara kamu akan ada guru-guru palsu. Mereka akan secara diam-diam memasukkan ajaran sesat yang membinasakan, bahkan menyangkal Tuhan yang berdaulat, yang telah menebus mereka, sehingga mereka mendatangkan kebinasaan yang cepat atas diri mereka sendiri.&amp;quot; (2 Petrus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“Banyak orang akan mengikut kelakuan mereka yang keji dan akan mencemarkan nama baik jalan kebenaran… Mereka ini seperti mata air yang kering dan kabus yang ditiup angin ribut. Kegelapan yang paling gelap telah disediakan untuk mereka.” (2 Petrus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Yohanes (murid yang dikasihi):</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&amp;quot;Hai saudara-saudaraku yang kekasih, janganlah percaya akan setiap roh, tetapi ujilah roh-roh itu, apakah mereka berasal dari Allah, sebab banyak nabi palsu telah muncul dan pergi ke seluruh dunia. Dengan demikian kamu dapat mengenal Roh Allah: Setiap roh yang mengaku, bahwa Yesus Kristus telah datang sebagai manusia, berasal dari Allah, tetapi setiap roh yang tidak mengaku Yesus, tidak berasal dari Allah. Itulah roh antikristus...&amp;quot; (1 Yohanes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&amp;quot;Siapakah pendusta itu? Barangsiapa yang menyangkal bahawa Yesus adalah Kristus... Barangsiapa yang menyangkal Anak, ia tidak mempunyai Bapa...&amp;quot; (1 Yohanes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“Kita menerima kesaksian manusia, tetapi kesaksian Allah lebih penting… Sesiapa yang percaya kepada Anak Allah, menerima kesaksian itu. Sesiapa yang tidak percaya kepada Allah, telah menjadikan Dia pendusta, kerana mereka tidak percaya akan kesaksian yang diberikan Allah tentang Anak-Nya.” (1 Yohanes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Yudas (saudara Yakobus):</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“Aku terdorong untuk menulis surat ini dan menggesa kamu supaya memperjuangkan iman yang telah dipercayakan kepada umat Allah yang kudus. Sebab, ada orang-orang tertentu yang telah lama ditulis tentang hukumannya, yang secara diam-diam telah menyusup masuk ke tengah-tengah kamu. Mereka adalah orang-orang fasik yang memutarbelitkan kasih karunia Allah kita menjadi jalan untuk melakukan perbuatan cabul dan yang menyangkal Yesus Kristus, satu-satunya Penguasa dan Tuhan kita.” (Yudas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rasul akan melihat dakwaan Al-Quran bahawa seorang malaikat (Jibril) menyampaikan wahyu &amp;quot;terakhir&amp;quot; yang bertentangan dengan kesaksian saksi mata mereka sebagai senario yang mereka beri amaran—terutamanya sebutan jelas Paulus tentang &amp;quot;seorang malaikat dari syurga&amp;quot; yang menyebarkan injil lain.</w:t>
      </w:r>
    </w:p>
    <w:p w14:paraId="7ED6D4D5" w14:textId="77777777" w:rsidR="009F4079" w:rsidRPr="009F4079" w:rsidRDefault="009F4079" w:rsidP="009F4079">
      <w:pPr>
        <w:pStyle w:val="Heading1"/>
      </w:pPr>
      <w:r>
        <w:t>6. Hipotesis: Apa yang Mungkin Dikatakan oleh Nabi-nabi Perjanjian Lama kepada Muslim, Berdasarkan Kata-kata Alkitab Mereka</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nabi Perjanjian Lama telah berucap berabad-abad sebelum Muhammad, namun kata-kata mereka menetapkan sifat abadi wahyu Tuhan, kedatangan Mesias ilahi, kemuktamadan perjanjian Taurat, dan amaran keras terhadap nabi-nabi palsu yang berucap atas nama Tuhan tetapi bercanggah dengan firman-Nya yang terdahulu. Dari perspektif alkitabiah, sebarang dakwaan sebagai &amp;quot;meterai para nabi&amp;quot; sambil menafikan Anak ilahi yang diramalkan dalam Kitab Suci Ibrani akan dilihat sebagai nubuatan palsu yang muktamad.</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Musa (nabi terhebat, yang melaluinya Taurat datang):</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&amp;quot;Apabila seorang nabi atau peramal melalui mimpi muncul di tengah-tengahmu dan ia memberitahukan kepadamu suatu tanda atau mujizat, dan apabila tanda atau mujizat yang dibicarakan itu terjadi, dan nabi itu berkata: Marilah kita mengikuti allah lain (allah-allah yang tidak kamu kenal) dan marilah kita beribadah kepada mereka, maka janganlah engkau mendengarkan perkataan nabi itu... Nabi itu harus dihukum mati... TUHAN, Allahmu, sedang menguji engkau untuk mengetahui sama ada engkau mengasihi Dia dengan segenap hatimu dan dengan segenap jiwamu.&amp;quot; (Ulangan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&amp;quot;Tetapi seorang nabi yang berani berkata-kata demi nama-Ku tentang sesuatu yang tidak Kuperintahkan, atau seorang nabi yang berkata-kata demi nama tuhan-tuhan lain, haruslah ia dihukum mati.&amp;quot; (Ulangan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“TUHAN berfirman kepadaku: &amp;#39;…Aku akan membangkitkan bagi mereka seorang nabi seperti engkau dari antara saudara-saudara mereka, dan Aku akan menaruh firman-Ku ke dalam mulutnya… Jika sesiapa tidak mendengar firman-Ku yang diucapkan oleh nabi itu atas nama-Ku, maka Aku sendiri akan menuntut pertanggungjawaban daripadanya.&amp;#39;” (Ulangan 18:17-19—digenapi dalam Kristus, bukan nabi Arab abad ke-7)</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Yesaya (nabi mesias):</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“Sebab seorang anak telah lahir untuk kita, seorang putera telah diberikan untuk kita… dan dia akan disebut Penasihat Ajaib, Allah yang Perkasa, Bapa yang Kekal, Raja Damai.” (Yesaya 9:6—ditentang secara langsung oleh penafian Al-Quran 4:171 tentang Tuhan yang mempunyai anak)</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“Inilah hamba-Ku, yang Kuteguhkan… Aku akan menaruh Roh-Ku ke atasnya… Pulau-pulau akan menaruh harapan mereka dalam ajarannya… Dia tidak akan goyah atau putus asa sehingga dia menegakkan keadilan di bumi.” (Yesaya 42:1-4—diterapkan kepada Yesus dalam Matius 12:18-21, bukan Muhammad)</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“Siapakah yang percaya kepada berita kami?… Dia tertikam kerana pelanggaran kita, dia diremukkan kerana kesalahan kita… TUHAN telah menimpakan kepadanya kejahatan kita semua.” (Yesaya 53:1-6—menggambarkan hamba yang menderita yang disalibkan, yang dinafikan dalam Al-Quran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Yeremia:</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&amp;quot;Para nabi bernubuat dusta atas nama-Ku. Aku tidak mengutus mereka... Mereka bernubuat kepadamu penglihatan palsu, ramalan, penyembahan berhala dan tipu daya hati mereka sendiri.&amp;quot; (Yeremia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&amp;quot;Janganlah dengarkan nubuat para nabi kepadamu, sebab mereka memberi kamu harapan palsu; mereka menyampaikan penglihatan dari hati mereka sendiri, bukan dari mulut TUHAN.&amp;quot; (Yeremia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Maleakhi (nabi Perjanjian Lama yang terakhir):</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“Lihatlah, Aku akan mengutus nabi Elia kepadamu sebelum datangnya hari TUHAN yang besar dan dahsyat itu… Jika tidak, Aku akan datang dan memukul negeri ini dengan kemusnahan yang dahsyat.” (Maleakhi 4:5-6—digenapi dalam Yohanes Pembaptis, seperti yang dikatakan Yesus dalam Matius 11:14, menutup garis keturunan nubuatan PL)</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Daud (raja kenabian dan pemazmur):</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&amp;quot;Ciumlah anak-Nya, supaya jangan Ia murka dan jalanmu membawa kepada kebinasaan... Berbahagialah semua orang yang berlindung pada-Nya.&amp;quot; (Mazmur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“TUHAN berfirman kepada Tuhanku: &amp;#39;Duduklah di sebelah kanan-Ku, sampai Aku menjadikan musuh-musuhmu tumpuan kakimu.&amp;#39;” (Mazmur 110:1—dipetik oleh Yesus sebagai bukti keilahian-Nya dalam Matius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Para nabi Perjanjian Lama akan menganggap sebarang dakwaan kenabian kemudian yang menyangkal Anak ilahi yang mereka ramalkan, menafsirkan semula Taurat sebagai sesuatu yang telah dirosakkan tanpa bukti, atau menambah hukum baharu sebagai penipuan yang sama yang dikutuk oleh Musa dan Yeremia—mengucapkan “sepatah perkataan yang tidak diperintahkan” dan membawa orang ramai menjauhi perjanjian abadi yang Tuhan bersumpah tidak akan pernah berubah (Mazmur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Dokumen yang dipertingkatkan ini kini mempersembahkan koir alkitabiah yang lebih lengkap—daripada para nabi Perjanjian Lama hingga Yesus dan para rasul-Nya—bersatu dalam satu suara menentang sebarang wahyu yang memperkecilkan Anak yang kekal dan menggantikan rahmat dengan karya. “Yesus Kristus tetap sama, baik kelmarin mahupun hari ini mahupun selama-lamanya. Janganlah kamu disesatkan oleh pelbagai ajaran asing.” (Ibrani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