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សារមួយទៅកាន់សាសនាចក្រនៅ Sardis៖ គោលលទ្ធិប្រូតេស្តង់ត្រូវបានពិនិត្យប្រឆាំងនឹងភាសាក្រិចនៃព្រះគម្ពីរសញ្ញាថ្មី</w:t>
      </w:r>
    </w:p>
    <w:p w14:paraId="7BB40912" w14:textId="77777777" w:rsidR="00EF3A4E" w:rsidRDefault="00EF3A4E" w:rsidP="00EF3A4E">
      <w:pPr>
        <w:pStyle w:val="Subtitle"/>
      </w:pPr>
      <w:r>
        <w:t>ការបង្កើតគោលការណ៍របស់ពួកប្រូតេស្តង់តាមរយៈកែវភ្នែកនៃភាពផ្ទុយគ្នាខាងព្រះគម្ពីរ</w:t>
      </w:r>
    </w:p>
    <w:p w14:paraId="69F92AD7" w14:textId="77777777" w:rsidR="00EF3A4E" w:rsidRDefault="00EF3A4E" w:rsidP="00EF3A4E">
      <w:r>
        <w:t>នៅក្នុងសៀវភៅវិវរណៈ ព្រះយេស៊ូវមានបន្ទូលទៅកាន់ព្រះវិហារទាំងប្រាំពីរនៅអាស៊ីមីន័រ ដោយប្រទាននូវការសរសើរ ការស្ដីបន្ទោស និងការអំពាវនាវឱ្យប្រែចិត្តដោយផ្អែកលើស្ថានភាពខាងវិញ្ញាណរបស់ពួកគេ។ ក្នុងចំណោមទាំងនេះ ព្រះវិហារនៅសើឌីសលេចធ្លោជាពិសេសសម្រាប់ការកំណត់ក្របខ័ណ្ឌនៃការពិនិត្យគោលលទ្ធិប្រូតេស្តង់នេះដោយផ្អែកលើភាពផ្ទុយគ្នានៃព្រះគម្ពីរសញ្ញាថ្មី។ ព្រះយេស៊ូវ​មាន​ព្រះបន្ទូល​ទៅ​កាន់​លោក​សាឌីស​នៅ​ក្នុង វិវរណៈ ៣:១-៣ (ភាសាក្រិច៖ Καὶ τῷ ἀγγέλῳ τῆς ἐν Σάρδεσιν ἐκκλησίας γράψχον· Τάἵ τὰ ἑπτὰ πνεύματα τοῦ θεοῦ καὶ τοὺς ἑπτὰ ἀστέρας· οἶδά σου τὰ ἔργεμα ὅτι ζῇς, καὶ νεκρὸς εἶ។ γίνου γρηγορῶν καὶ στήρισον τὰ λοιπὰ ἃ ἔμελλον ἀποθανεῖν · οὐ γὰρ εᔨρον πεπληρωμένα ἐνώπιον τοῦ θεοῦ μου។ μνημόνευε οὖν πῶς εἴληφας καὶ ἤκουσας καὶ τήρει καὶ μετανόησον ។&amp;quot; - ការបកប្រែតាមព្យញ្ជនៈ៖ «ចូរសរសេរទៅកាន់ទេវតានៃពួកជំនុំនៅសើឌីសថា ព្រះអង្គដែលមានវិញ្ញាណទាំងប្រាំពីររបស់ព្រះ និងផ្កាយទាំងប្រាំពីរ ទ្រង់មានព្រះបន្ទូលនូវសេចក្ដីទាំងនេះថា អញស្គាល់កិច្ចការរបស់ឯង ដែលឯងមានឈ្មោះថាឯងរស់ ហើយឯងស្លាប់ហើយ។ ចូរចាំ ហើយចម្រើនកម្លាំងដល់ពួកអ្នកដែលហៀបនឹងស្លាប់ដែលនៅសល់ ដ្បិតអញមិនបានរកឃើញកិច្ចការរបស់ឯងបានបញ្ចប់នៅចំពោះព្រះនៃអញទេ។ ដូច្នេះ ចូរចាំពីរបៀបដែលឯងបានទទួល បានឮ ហើយកាន់តាម ហើយប្រែចិត្តចុះ»។</w:t>
      </w:r>
    </w:p>
    <w:p w14:paraId="7637B7F7" w14:textId="77777777" w:rsidR="00EF3A4E" w:rsidRDefault="00EF3A4E" w:rsidP="00EF3A4E">
      <w:r>
        <w:t>ការស្តីបន្ទោសនេះគូសបញ្ជាក់ពីព្រះវិហារដែលមាន «ឈ្មោះ» (ὄνομα) ឬកេរ្តិ៍ឈ្មោះសម្រាប់ការនៅរស់ (ζῇς) ប៉ុន្តែស្លាប់ខាងវិញ្ញាណ (νεκρὸς) ជាមួយនឹងស្នាដៃ (ἔργα) ដែលមិនពេញលេញ (οὐ... πεπληρωμένα – មិនទាន់បានបញ្ចប់/បំពេញ)។ សាសនាប្រូតេស្តង់ ដោយសង្កត់ធ្ងន់លើកំណែទម្រង់ សូឡាស្គ្រីបរ៉ា និងជំនឿតែម្នាក់ឯង ជារឿយៗមានកេរ្តិ៍ឈ្មោះសម្រាប់ភាពស្មោះត្រង់ខាងព្រះគម្ពីរ និងជំនឿដ៏រស់រវើក។ ទោះជាយ៉ាងណាក៏ដោយ ភាពតានតឹងផ្នែកអត្ថបទដែលបានកំណត់អត្តសញ្ញាណខាងក្រោម - ដែលដកស្រង់ចេញពីភាសាក្រិចនៃគម្ពីរសញ្ញាថ្មីតែប៉ុណ្ណោះ - បង្ហាញពីតំបន់ដែលគោលលទ្ធិអាចហាក់ដូចជារឹងមាំ ប៉ុន្តែមិនទាន់ដល់ទីបន្ទាល់ពេញលេញនៃព្រះគម្ពីរ ដូចជាស្នាដៃមិនពេញលេញរបស់សើឌីសដែរ។ នេះទាមទារឱ្យមានការចងចាំអំពីអ្វីដែលត្រូវបាន «ទទួល និងឮ» (εἴληφας καὶ ἤκουσας) ការប្រុងប្រយ័ត្ន (γρηγορῶν) និងការប្រែចិត្ត (μετανόησον) ដើម្បីពង្រឹងអ្វីដែលនៅសល់។ ខាងក្រោមនេះ ចងក្រង និងរៀបចំការវិភាគទៅជាឯកសារដ៏ស៊ីសង្វាក់គ្នា ដោយផ្តោតលើគោលលទ្ធិសំខាន់ៗរបស់សាសនាប្រូតេស្តង់ និងការប៉ះទង្គិចគ្នារបស់ពួកគេជាមួយអត្ថបទព្រះគម្ពីរសញ្ញាថ្មី ជាមួយនឹងការផ្ទុយបន្ថែមដែលបានបញ្ចូលសម្រាប់ភាពពេញលេញ រួមទាំងអ្វីដែលបានបំផុសគំនិតដោយស្នាដៃរបស់ម៉ាទីន លូធើរ (ឧទាហរណ៍ ការជាប់ចំណងនៃឆន្ទៈ ការរាប់ជាសុចរិតដោយជំនឿតែម្នាក់ឯង) ចន កាល់វីន (ឧទាហរណ៍ ការប្រោសលោះមានកំណត់ ការបោះឆ្នោតដោយគ្មានលក្ខខណ្ឌ) និងអ្នកកែទម្រង់ផ្សេងទៀតដូចជា អ៊ុលរីច ហ្ស៊ូងលី (សាក្រាម៉ង់និមិត្តរូប) និងចន ណុក (ការសង្កត់ធ្ងន់លើវាសនា)។</w:t>
      </w:r>
    </w:p>
    <w:p w14:paraId="5A947C89" w14:textId="77777777" w:rsidR="00EF3A4E" w:rsidRDefault="00EF3A4E" w:rsidP="00EF3A4E">
      <w:pPr>
        <w:pStyle w:val="Heading1"/>
      </w:pPr>
      <w:r>
        <w:t>គោលលទ្ធិ​ស្នូល​នៃ​ពួក​ប្រូតេស្តង់ និង​ភាព​តានតឹង​ខាង​អត្ថបទ​ក្នុង​គម្ពីរ​សញ្ញា​ថ្មី​របស់​ក្រិក</w:t>
      </w:r>
    </w:p>
    <w:p w14:paraId="639E4F4F" w14:textId="77777777" w:rsidR="00EF3A4E" w:rsidRDefault="00EF3A4E" w:rsidP="00EF3A4E">
      <w:r>
        <w:t>សាសនាប្រូតេស្តង់រួមបញ្ចូលសាខាផ្សេងៗគ្នា ប៉ុន្តែផ្តោតលើគោលការណ៍ដូចជា &amp;quot;សូឡាទាំងប្រាំ&amp;quot;។ ផ្នែកនេះពិនិត្យមើលគោលការណ៍ទាំងនេះទល់នឹងអត្ថបទក្រិកនៃព្រះគម្ពីរមរមន ដោយគូសបញ្ជាក់ពីការគាំទ្រ និងភាពផ្ទុយគ្នាដែលផ្អែកលើពាក្យពេចន៍ វេយ្យាករណ៍ និងរចនាសម្ព័ន្ធសុទ្ធសាធ។</w:t>
      </w:r>
    </w:p>
    <w:p w14:paraId="0C0E0022" w14:textId="77777777" w:rsidR="00EF3A4E" w:rsidRDefault="00EF3A4E" w:rsidP="00EF3A4E">
      <w:pPr>
        <w:pStyle w:val="Heading2"/>
      </w:pPr>
      <w:r>
        <w:t>១. Sola Fide (ការរាប់ជាសុចរិតដោយសារជំនឿតែមួយមុខ) – សង្កត់ធ្ងន់ដោយ Luther</w:t>
      </w:r>
    </w:p>
    <w:p w14:paraId="7286D9F4" w14:textId="77777777" w:rsidR="00EF3A4E" w:rsidRDefault="00EF3A4E" w:rsidP="00EF3A4E">
      <w:r>
        <w:t>គោលលទ្ធិនេះ ដែលជាចំណុចកណ្តាលនៃទេវវិទ្យារបស់លោកលូធើរ (ឧទាហរណ៍ នៅក្នុងអត្ថាធិប្បាយរបស់គាត់លើរ៉ូម និងកាឡាទី) បានបង្ហាញពីការរាប់ជាសុចរិតដោយជំនឿតែប៉ុណ្ណោះ ដោយគ្មានការរួមចំណែកពីការប្រព្រឹត្តឡើយ។</w:t>
      </w:r>
    </w:p>
    <w:p w14:paraId="715E1048" w14:textId="77777777" w:rsidR="00EF3A4E" w:rsidRDefault="00EF3A4E" w:rsidP="00EF3A4E">
      <w:r>
        <w:t>អត្ថបទគាំទ្រ៖ អេភេសូរ ២:៨-៩ – “τῇ γὰρ χάριτί ἐστε σεσῳσμένοι διὰ πίστεως· καὶ τοῦτο οὐκἐξε τὸ δῶρον· οὐκ ἐξ ἔργων, ἵνα μή τις καυχήσηται ។&amp;quot; (ដោយ​ព្រះគុណ អ្នក​ត្រូវ​បាន​សង្គ្រោះ​តាម​រយៈ​សេចក្តី​ជំនឿ ... មិន​មែន​មក​ពី​ការ​ងារ​ទេ)។</w:t>
      </w:r>
    </w:p>
    <w:p w14:paraId="64BB5A49" w14:textId="77777777" w:rsidR="00EF3A4E" w:rsidRDefault="00EF3A4E" w:rsidP="00EF3A4E">
      <w:r>
        <w:t>ភាពផ្ទុយគ្នា៖ យ៉ាកុប 2:24 – &amp;quot;ὁρᾶτε ὅτι ἐξ ἔργων δικαιοῦται ἄνθρωπος καὶ οὐκ ἐν πίμστεως&amp;quot; ។ (ពីការងារ មនុស្សម្នាក់ត្រូវបានរាប់ជាសុចរិត ហើយមិនមែនមកពីសេចក្តីជំនឿតែប៉ុណ្ណោះទេ។) យ៉ាកុបប្រើ &amp;quot;μόνον&amp;quot; ដើម្បីបដិសេធសេចក្តីជំនឿដាច់ពីគេ ដោយ 2:21-22 បង្ហាញជំនឿថា &amp;quot;ល្អឥតខ្ចោះ&amp;quot; (ἐτελειώθη) ដោយស្នាដៃ។</w:t>
      </w:r>
    </w:p>
    <w:p w14:paraId="4AE17959" w14:textId="57C6AC52" w:rsidR="00EF3A4E" w:rsidRDefault="001D219D" w:rsidP="00EF3A4E">
      <w:pPr>
        <w:pStyle w:val="Heading2"/>
      </w:pPr>
      <w:r>
        <w:t>២. ពិធីបុណ្យជ្រមុជទឹកជាពិធីសាសនានិមិត្តរូប (មិនមែនពិធីបង្កើតឡើងវិញទេ) – មានភាពខុសគ្នាក្នុងចំណោមអ្នកកែទម្រង់ (ឧទាហរណ៍ ទស្សនៈនិមិត្តរូបរបស់ Zwingli)</w:t>
      </w:r>
    </w:p>
    <w:p w14:paraId="08244CDD" w14:textId="77777777" w:rsidR="00EF3A4E" w:rsidRDefault="00EF3A4E" w:rsidP="00EF3A4E">
      <w:r>
        <w:t>លោក Luther និងលោក Calvin យល់ឃើញថាពិធីបុណ្យជ្រមុជទឹកជាការបង្ហាញពីព្រះគុណ (ជាពិសេសសម្រាប់ទារក) ប៉ុន្តែពួកប្រូតេស្តង់ជាច្រើន (ដែលទទួលឥទ្ធិពលពី Zwingli) យល់ឃើញថាវាជានិមិត្តរូប។</w:t>
      </w:r>
    </w:p>
    <w:p w14:paraId="32889231" w14:textId="77777777" w:rsidR="00EF3A4E" w:rsidRDefault="00EF3A4E" w:rsidP="00EF3A4E">
      <w:r>
        <w:t>អត្ថបទគាំទ្រ៖ រ៉ូម ៦:៣-៤ – &amp;quot;ὅσοι ἐβαπτίσθημεν εἰς Χριστὸν Ἰησοῦν εἰς τὸν ... &amp;quot; θάνατον αὐτοῦετεσα នៅក្នុងការសោយទិវង្គតរបស់គាត់ ... និមិត្តរូបនៃសហជីព។ )</w:t>
      </w:r>
    </w:p>
    <w:p w14:paraId="78C8DB09" w14:textId="77777777" w:rsidR="00EF3A4E" w:rsidRDefault="00EF3A4E" w:rsidP="00EF3A4E">
      <w:r>
        <w:t>ភាពផ្ទុយគ្នា៖</w:t>
      </w:r>
    </w:p>
    <w:p w14:paraId="6D8A20A9" w14:textId="77777777" w:rsidR="00EF3A4E" w:rsidRDefault="00EF3A4E" w:rsidP="00EF3A4E">
      <w:pPr>
        <w:pStyle w:val="ListParagraph"/>
        <w:numPr>
          <w:ilvl w:val="0"/>
          <w:numId w:val="17"/>
        </w:numPr>
      </w:pPr>
      <w:r>
        <w:t>កិច្ចការ 2:38 – &amp;quot;βαπτισθήτω ἕκαστος... εἰς ἄφεσιν τῶν ἁμαρτιῶν.&amp;quot; ( ត្រូវ​ទទួល​បុណ្យ​ជ្រមុជ​ទឹក​សម្រាប់​ការ​អភ័យទោស​ពី​អំពើ​បាប ) ។</w:t>
      </w:r>
    </w:p>
    <w:p w14:paraId="3BC8EC99" w14:textId="77777777" w:rsidR="00EF3A4E" w:rsidRDefault="00EF3A4E" w:rsidP="00EF3A4E">
      <w:pPr>
        <w:pStyle w:val="ListParagraph"/>
        <w:numPr>
          <w:ilvl w:val="0"/>
          <w:numId w:val="17"/>
        </w:numPr>
      </w:pPr>
      <w:r>
        <w:t>ទីតុស 3:5 – &amp;quot;ἔσωσεν ἡμᾶς διὰ λουτροῦ παλιγγενεσίας καὶ ἀνακαινώσεως πνεύματος ἁ&amp;quot; ។ (បានរក្សាទុកតាមរយៈការលាងនៃការបង្កើតឡើងវិញ និងការបន្តនៃព្រះវិញ្ញាណបរិសុទ្ធ។ )</w:t>
      </w:r>
    </w:p>
    <w:p w14:paraId="060E0DCA" w14:textId="77777777" w:rsidR="00EF3A4E" w:rsidRDefault="00EF3A4E" w:rsidP="00EF3A4E">
      <w:pPr>
        <w:pStyle w:val="ListParagraph"/>
        <w:numPr>
          <w:ilvl w:val="0"/>
          <w:numId w:val="17"/>
        </w:numPr>
      </w:pPr>
      <w:r>
        <w:t>ពេត្រុសទី១ ៣:២១ – “νῦν σῴζει βάπτισμα…” (ពិធីបុណ្យជ្រមុជទឹកឥឡូវនេះជួយសង្រ្គោះ... ដូចជាការប្រឆាំង។ )</w:t>
      </w:r>
    </w:p>
    <w:p w14:paraId="7E38224B" w14:textId="77777777" w:rsidR="00EF3A4E" w:rsidRDefault="00EF3A4E" w:rsidP="00EF3A4E">
      <w:r>
        <w:t>ការដោះស្រាយដំណោះស្រាយដែលបានស្នើឡើង៖ &amp;quot;Διὰ&amp;quot; ភ្ជាប់ឃ្លាដែលសម្របសម្រួល (&amp;quot;ការលាងសម្អាតការបង្កើតឡើងវិញ និងការបន្តឡើងវិញ&amp;quot;) មិនមែនស្មើនឹងពួកវាទេ។ រចនាសម្ព័ន្ធបង្ហាញធាតុផ្សំផ្សេងៗគ្នា។</w:t>
      </w:r>
    </w:p>
    <w:p w14:paraId="77C3C148" w14:textId="19E7BB5F" w:rsidR="00EF3A4E" w:rsidRDefault="001D219D" w:rsidP="00EF3A4E">
      <w:pPr>
        <w:pStyle w:val="Heading2"/>
      </w:pPr>
      <w:r>
        <w:t>៣. ការតស៊ូរបស់ពួកបរិសុទ្ធ (នៅពេលដែលបានសង្គ្រោះហើយ តែងតែបានសង្គ្រោះ) – គន្លឹះក្នុងទ្រឹស្ដីសាសនារបស់កាល់វីន</w:t>
      </w:r>
    </w:p>
    <w:p w14:paraId="42B8B0F9" w14:textId="77777777" w:rsidR="00EF3A4E" w:rsidRDefault="00EF3A4E" w:rsidP="00EF3A4E">
      <w:r>
        <w:t>កាលវីនបានបង្រៀនថា អ្នកដែលបានជ្រើសរើស តស៊ូជារៀងរហូត។</w:t>
      </w:r>
    </w:p>
    <w:p w14:paraId="78004251" w14:textId="77777777" w:rsidR="00EF3A4E" w:rsidRDefault="00EF3A4E" w:rsidP="00EF3A4E">
      <w:r>
        <w:t>អត្ថបទគាំទ្រ៖ រ៉ូម ៨:៣៨-៣៩ – “οὔτε θάνατος οὔτε ζωὴ... δυνήσεται ἡμᾶς χωρίσαι…” (គ្មានអ្វីអាចបំបែកយើងចេញពីសេចក្តីស្រឡាញ់របស់ព្រះបានទេ)។</w:t>
      </w:r>
    </w:p>
    <w:p w14:paraId="3CD7F963" w14:textId="77777777" w:rsidR="00EF3A4E" w:rsidRDefault="00EF3A4E" w:rsidP="00EF3A4E">
      <w:r>
        <w:t>ភាពផ្ទុយគ្នា៖ ហេព្រើរ ៦:៤-៦ – &amp;quot;ἀδύνατον... τοὺς ἅπαξ φωτισθέντας... καὶ παραπεσόντας πάλιν ἀνακαιντας... ឆ្ងាយ។ )</w:t>
      </w:r>
    </w:p>
    <w:p w14:paraId="22CD9BCA" w14:textId="6550D7C0" w:rsidR="00EF3A4E" w:rsidRDefault="001D219D" w:rsidP="00EF3A4E">
      <w:pPr>
        <w:pStyle w:val="Heading2"/>
      </w:pPr>
      <w:r>
        <w:t>៤. ពិធីជប់លៀងរបស់ព្រះអម្ចាស់គ្រាន់តែជានិមិត្តរូបប៉ុណ្ណោះ – គាំទ្រដោយ Zwingli</w:t>
      </w:r>
    </w:p>
    <w:p w14:paraId="31CCD878" w14:textId="77777777" w:rsidR="00EF3A4E" w:rsidRDefault="00EF3A4E" w:rsidP="00EF3A4E">
      <w:r>
        <w:t>លោក Luther ប្រកាន់ខ្ជាប់នូវភស្តុតាងជាលាយលក្ខណ៍អក្សរ ប៉ុន្តែលោក Zwingli និងពួកប្រូតេស្តង់ជាច្រើនយល់ឃើញថាវាជានិមិត្តរូបសុទ្ធសាធ។</w:t>
      </w:r>
    </w:p>
    <w:p w14:paraId="762827D7" w14:textId="77777777" w:rsidR="00EF3A4E" w:rsidRDefault="00EF3A4E" w:rsidP="00EF3A4E">
      <w:r>
        <w:t>អត្ថបទគាំទ្រ៖ កូរិនថូសទី១ ១១:២៤-២៥ – «τοῦτο ποιεῖτε εἰς τὴν ἐμὴν ἀνάμνησιν ។ (ធ្វើ​នេះ​សម្រាប់​ការ​ចងចាំ​របស់​ខ្ញុំ។ )</w:t>
      </w:r>
    </w:p>
    <w:p w14:paraId="1D7180D3" w14:textId="77777777" w:rsidR="00EF3A4E" w:rsidRDefault="00EF3A4E" w:rsidP="00EF3A4E">
      <w:r>
        <w:t>ភាពផ្ទុយគ្នា៖</w:t>
      </w:r>
    </w:p>
    <w:p w14:paraId="7676D507" w14:textId="77777777" w:rsidR="00EF3A4E" w:rsidRDefault="00EF3A4E" w:rsidP="00EF3A4E">
      <w:pPr>
        <w:pStyle w:val="ListParagraph"/>
        <w:numPr>
          <w:ilvl w:val="0"/>
          <w:numId w:val="18"/>
        </w:numPr>
      </w:pPr>
      <w:r>
        <w:t>យ៉ូហាន 6:53-56 – &amp;quot;ἐὰν μὴ φάγητε τὴν σάρκα... ὁ τρώγων μου τὴν σάρκα... ἐν ἐμοὶ μένει ។&amp;quot; (លុះ​ត្រា​តែ​អ្នក​រាល់​គ្នា​បរិភោគ​សាច់... អ្នក​ដែល​ស៊ី​សាច់​នោះ​ស្ថិត​នៅ​ក្នុង​ខ្ញុំ។ )</w:t>
      </w:r>
    </w:p>
    <w:p w14:paraId="63C53247" w14:textId="77777777" w:rsidR="00EF3A4E" w:rsidRDefault="00EF3A4E" w:rsidP="00EF3A4E">
      <w:pPr>
        <w:pStyle w:val="ListParagraph"/>
        <w:numPr>
          <w:ilvl w:val="0"/>
          <w:numId w:val="18"/>
        </w:numPr>
      </w:pPr>
      <w:r>
        <w:t>កូរិនថូសទី១ ១១:២៧-២៩ – &amp;quot;ἔνοχος ἔσται τοῦ σώματος καὶ τοῦ αἵματος... κρίμα ἑαυτῷ ἐσθίει.&amp;quot; (មានទោសលើរូបកាយ និងឈាម... ស៊ីការវិនិច្ឆ័យ។ )</w:t>
      </w:r>
    </w:p>
    <w:p w14:paraId="0E931A0E" w14:textId="4FCD0DF3" w:rsidR="00EF3A4E" w:rsidRDefault="001D219D" w:rsidP="00EF3A4E">
      <w:pPr>
        <w:pStyle w:val="Heading2"/>
      </w:pPr>
      <w:r>
        <w:t>៥. ការសារភាពដោយផ្ទាល់ចំពោះព្រះតែមួយអង្គគត់ - ជារឿងធម្មតានៅក្នុងគំនិតរបស់ពួកប្រូតេស្តង់</w:t>
      </w:r>
    </w:p>
    <w:p w14:paraId="2D8D9664" w14:textId="77777777" w:rsidR="00EF3A4E" w:rsidRDefault="00EF3A4E" w:rsidP="00EF3A4E">
      <w:r>
        <w:t>អ្នកកែទម្រង់ដូចជាលោកលូធើរបានបដិសេធការសារភាពចំពោះមុខបូជាចារ្យ។</w:t>
      </w:r>
    </w:p>
    <w:p w14:paraId="10DF0050" w14:textId="77777777" w:rsidR="00EF3A4E" w:rsidRDefault="00EF3A4E" w:rsidP="00EF3A4E">
      <w:r>
        <w:t>អត្ថបទគាំទ្រ៖ យ៉ូហានទី១ ១:៩ – &amp;quot;ἐὰν ὁμολογῶμεν τὰς ἁμαρτίας ἡμῶν... ἀφῇ ἡμῖν.&amp;quot; (ប្រសិនបើយើងសារភាព ... គាត់អភ័យទោស។ )</w:t>
      </w:r>
    </w:p>
    <w:p w14:paraId="6816ED13" w14:textId="77777777" w:rsidR="00EF3A4E" w:rsidRDefault="00EF3A4E" w:rsidP="00EF3A4E">
      <w:r>
        <w:t>ភាពផ្ទុយគ្នា៖</w:t>
      </w:r>
    </w:p>
    <w:p w14:paraId="4BB69E58" w14:textId="77777777" w:rsidR="00EF3A4E" w:rsidRDefault="00EF3A4E" w:rsidP="00EF3A4E">
      <w:pPr>
        <w:pStyle w:val="ListParagraph"/>
        <w:numPr>
          <w:ilvl w:val="0"/>
          <w:numId w:val="19"/>
        </w:numPr>
      </w:pPr>
      <w:r>
        <w:t>យ៉ាកុប 5:16 – &amp;quot;ἐξομολογεῖσθε ἀλλήλοις τὰς ἁμαρτίας&amp;quot; ។ (សារភាពចំពោះគ្នាទៅវិញទៅមក។ )</w:t>
      </w:r>
    </w:p>
    <w:p w14:paraId="605DB6AE" w14:textId="77777777" w:rsidR="00EF3A4E" w:rsidRDefault="00EF3A4E" w:rsidP="00EF3A4E">
      <w:pPr>
        <w:pStyle w:val="ListParagraph"/>
        <w:numPr>
          <w:ilvl w:val="0"/>
          <w:numId w:val="19"/>
        </w:numPr>
      </w:pPr>
      <w:r>
        <w:t>យ៉ូហាន 20:23 – &amp;quot;ἄν τινων ἀφῆτε τὰς ἁμαρτίας ἀφέωνται αὐτοῖς&amp;quot; ។ (ប្រសិនបើអ្នកអត់ទោស ... ពួកគេត្រូវបានលើកលែងទោស។ )</w:t>
      </w:r>
    </w:p>
    <w:p w14:paraId="721B0357" w14:textId="0D6D0E1F" w:rsidR="00EF3A4E" w:rsidRDefault="001D219D" w:rsidP="00EF3A4E">
      <w:pPr>
        <w:pStyle w:val="Heading2"/>
      </w:pPr>
      <w:r>
        <w:t>៦. ការវិនិច្ឆ័យចុងក្រោយមិនផ្អែកលើការប្រព្រឹត្ត - ភ្ជាប់ទៅនឹងជំនឿរបស់លូធើរតែម្នាក់ឯង</w:t>
      </w:r>
    </w:p>
    <w:p w14:paraId="181F9DE2" w14:textId="77777777" w:rsidR="00EF3A4E" w:rsidRDefault="00EF3A4E" w:rsidP="00EF3A4E">
      <w:r>
        <w:t>លូធើរបានសង្កត់ធ្ងន់លើជំនឿជាងការប្រព្រឹត្តនៅក្នុងការវិនិច្ឆ័យ។</w:t>
      </w:r>
    </w:p>
    <w:p w14:paraId="62B24B8D" w14:textId="77777777" w:rsidR="00EF3A4E" w:rsidRDefault="00EF3A4E" w:rsidP="00EF3A4E">
      <w:r>
        <w:t>អត្ថបទគាំទ្រ៖ រ៉ូម ៣:២៨ – «δικαιοῦσθαι πίστει ἄνθρωπον χωρὶς ἔργων νόμου ។ ( រាប់​ជា​សុចរិត​ដោយ​សេចក្តី​ជំនឿ ក្រៅ​ពី​ការ​ប្រព្រឹត្ត​នៃ​ច្បាប់ ។ )</w:t>
      </w:r>
    </w:p>
    <w:p w14:paraId="42234F59" w14:textId="77777777" w:rsidR="00EF3A4E" w:rsidRDefault="00EF3A4E" w:rsidP="00EF3A4E">
      <w:r>
        <w:t>ភាពផ្ទុយគ្នា៖ ម៉ាថាយ ២៥:៣១-៤៦ – &amp;quot;ἐπείνασα γὰρ καὶ ἐδώκατέ μοι φαγεῖν... ἐφ᾽ ὅσον ἐποιήσατε... &amp;quot;</w:t>
      </w:r>
    </w:p>
    <w:p w14:paraId="12118169" w14:textId="02E0E152" w:rsidR="00EF3A4E" w:rsidRDefault="001D219D" w:rsidP="00EF3A4E">
      <w:pPr>
        <w:pStyle w:val="Heading2"/>
      </w:pPr>
      <w:r>
        <w:t>៧. បព្វជិតភាពរបស់អ្នកជឿទាំងអស់ (គ្មានបព្វជិតឋានានុក្រម) – ការសង្កត់ធ្ងន់របស់លូធើរ</w:t>
      </w:r>
    </w:p>
    <w:p w14:paraId="4F97D154" w14:textId="77777777" w:rsidR="00EF3A4E" w:rsidRDefault="00EF3A4E" w:rsidP="00EF3A4E">
      <w:r>
        <w:t>លូធើរបានបង្រៀនថា អ្នកជឿទាំងអស់សុទ្ធតែជាបូជាចារ្យ ដែលធ្វើឲ្យតួនាទីបព្វជិតថយចុះ។</w:t>
      </w:r>
    </w:p>
    <w:p w14:paraId="0F36EEBC" w14:textId="77777777" w:rsidR="00EF3A4E" w:rsidRDefault="00EF3A4E" w:rsidP="00EF3A4E">
      <w:r>
        <w:t>អត្ថបទគាំទ្រ៖ ១ពេត្រុស ២:៩ – “βασίλειον ἱεράτευμα…” (បព្វជិតភាព។ )</w:t>
      </w:r>
    </w:p>
    <w:p w14:paraId="36526960" w14:textId="77777777" w:rsidR="00EF3A4E" w:rsidRDefault="00EF3A4E" w:rsidP="00EF3A4E">
      <w:r>
        <w:t>ភាពផ្ទុយគ្នា៖</w:t>
      </w:r>
    </w:p>
    <w:p w14:paraId="0FA050EB" w14:textId="77777777" w:rsidR="00EF3A4E" w:rsidRDefault="00EF3A4E" w:rsidP="00EF3A4E">
      <w:pPr>
        <w:pStyle w:val="ListParagraph"/>
        <w:numPr>
          <w:ilvl w:val="0"/>
          <w:numId w:val="20"/>
        </w:numPr>
      </w:pPr>
      <w:r>
        <w:t>1 Timothy 5:17 – &amp;quot;οἱ καλῶς προεστῶτες πρεσβύτεροι διπλῆς τιμῆς ... &amp;quot; (ពួកអ្នកចាស់ទុំដែលកាន់អំណាចសមនឹងទទួលបានកិត្តិយសទ្វេដង)។</w:t>
      </w:r>
    </w:p>
    <w:p w14:paraId="3F3611F8" w14:textId="77777777" w:rsidR="00EF3A4E" w:rsidRDefault="00EF3A4E" w:rsidP="00EF3A4E">
      <w:pPr>
        <w:pStyle w:val="ListParagraph"/>
        <w:numPr>
          <w:ilvl w:val="0"/>
          <w:numId w:val="20"/>
        </w:numPr>
      </w:pPr>
      <w:r>
        <w:t>កិច្ចការ ១៤:២៣ – &amp;quot;χειροτονήσαντες... πρεσβυτέρους&amp;quot; ។ (អ្នកចាស់ទុំដែលត្រូវបានតែងតាំង/តែងតាំង។ )</w:t>
      </w:r>
    </w:p>
    <w:p w14:paraId="69A7A982" w14:textId="77777777" w:rsidR="00EF3A4E" w:rsidRDefault="00EF3A4E" w:rsidP="00EF3A4E">
      <w:pPr>
        <w:pStyle w:val="ListParagraph"/>
        <w:numPr>
          <w:ilvl w:val="0"/>
          <w:numId w:val="20"/>
        </w:numPr>
      </w:pPr>
      <w:r>
        <w:t>២ធីម៉ូថេ 1:6 – “διὰ τῆς ἐπιθέσεως τῶν χειρῶν…” (អំណោយតាមរយៈការដាក់ដៃ។ )</w:t>
      </w:r>
    </w:p>
    <w:p w14:paraId="5D6755CE" w14:textId="4F302258" w:rsidR="00EF3A4E" w:rsidRDefault="001D219D" w:rsidP="00EF3A4E">
      <w:pPr>
        <w:pStyle w:val="Heading2"/>
      </w:pPr>
      <w:r>
        <w:t>៨. ការចាក់ប្រេងតាំងជានិមិត្តរូបសម្រាប់អ្នកជំងឺ - ស្របតាមទស្សនៈរបស់ពួកប្រូតេស្តង់មួយចំនួន</w:t>
      </w:r>
    </w:p>
    <w:p w14:paraId="5A215DA4" w14:textId="77777777" w:rsidR="00EF3A4E" w:rsidRDefault="00EF3A4E" w:rsidP="00EF3A4E">
      <w:r>
        <w:t>ការព្យាបាលតាមរយៈការអធិស្ឋាន ដោយបន្ថយពិធីសាសនា។</w:t>
      </w:r>
    </w:p>
    <w:p w14:paraId="6E6C565B" w14:textId="77777777" w:rsidR="00EF3A4E" w:rsidRDefault="00EF3A4E" w:rsidP="00EF3A4E">
      <w:r>
        <w:t>អត្ថបទគាំទ្រ៖ យ៉ាកុប 5:15 (ផ្នែកខ្លះ) – &amp;quot;ἡ εὐχὴ τῆς πίστεως σώσει...&amp;quot; (ការអធិស្ឋាននៃសេចក្តីជំនឿនឹងជួយសង្គ្រោះ។ )</w:t>
      </w:r>
    </w:p>
    <w:p w14:paraId="4BE269C8" w14:textId="77777777" w:rsidR="00EF3A4E" w:rsidRDefault="00EF3A4E" w:rsidP="00EF3A4E">
      <w:r>
        <w:t>ភាពផ្ទុយគ្នា៖ យ៉ាកុប 5:14-15 – &amp;quot;προσευξάσθωσαν ἐπ᾽ αὐτὸν ἀλείψαντες αὐτὸν ἐλαίῳ... ἀφεθήστη.&amp;quot; (​សូម​អធិដ្ឋាន​លើ​គាត់ ដោយ​បាន​ចាក់​ប្រេង​អភិសេក...</w:t>
      </w:r>
    </w:p>
    <w:p w14:paraId="1AC2B63A" w14:textId="1A59FB9C" w:rsidR="00EF3A4E" w:rsidRDefault="001D219D" w:rsidP="00EF3A4E">
      <w:pPr>
        <w:pStyle w:val="Heading2"/>
      </w:pPr>
      <w:r>
        <w:t>៩. ការបញ្ឈប់អំណោយទានខាងវិញ្ញាណ - កាន់កាប់ដោយអ្នកកែទម្រង់មួយចំនួនដូចជា Knox</w:t>
      </w:r>
    </w:p>
    <w:p w14:paraId="137E188C" w14:textId="77777777" w:rsidR="00EF3A4E" w:rsidRDefault="00EF3A4E" w:rsidP="00EF3A4E">
      <w:r>
        <w:t>អំណោយ​ដ៏​អស្ចារ្យ​បាន​បញ្ចប់​ក្រោយ​សម័យ​សាវ័ក។</w:t>
      </w:r>
    </w:p>
    <w:p w14:paraId="349AB9CB" w14:textId="77777777" w:rsidR="00EF3A4E" w:rsidRDefault="00EF3A4E" w:rsidP="00EF3A4E">
      <w:r>
        <w:t>អត្ថបទគាំទ្រ៖ ១កូរិនថូស ១៣:៨-១០ – &amp;quot;προφητεῖαι καταργηθήσονται... ὅταν ἔλθῃ τὸ τέλειον ... &amp;quot; (ទំនាយនឹងឈប់នៅពេលភាពល្អឥតខ្ចោះមកដល់)។</w:t>
      </w:r>
    </w:p>
    <w:p w14:paraId="5337CBEF" w14:textId="77777777" w:rsidR="00EF3A4E" w:rsidRDefault="00EF3A4E" w:rsidP="00EF3A4E">
      <w:r>
        <w:t>ភាពផ្ទុយគ្នា៖</w:t>
      </w:r>
    </w:p>
    <w:p w14:paraId="2C6CE06C" w14:textId="77777777" w:rsidR="00EF3A4E" w:rsidRDefault="00EF3A4E" w:rsidP="00EF3A4E">
      <w:pPr>
        <w:pStyle w:val="ListParagraph"/>
        <w:numPr>
          <w:ilvl w:val="0"/>
          <w:numId w:val="21"/>
        </w:numPr>
      </w:pPr>
      <w:r>
        <w:t>១ កូរិនថូស ១៤:១, ៣៩ – &amp;quot;ζηλοῦτε... τὸ προφητεύειν καὶ τὸ λαλεῖν μὴ κωλύετε γλώσαις.&amp;quot; (ចូរ​មាន​ចិត្ត​ខ្នះខ្នែង​ក្នុង​ការ​ទាយ... កុំ​ហាម​ប្រាម​ភាសា​ឡើយ)។</w:t>
      </w:r>
    </w:p>
    <w:p w14:paraId="483DE90B" w14:textId="77777777" w:rsidR="00EF3A4E" w:rsidRDefault="00EF3A4E" w:rsidP="00EF3A4E">
      <w:pPr>
        <w:pStyle w:val="ListParagraph"/>
        <w:numPr>
          <w:ilvl w:val="0"/>
          <w:numId w:val="21"/>
        </w:numPr>
      </w:pPr>
      <w:r>
        <w:t>អេភេសូរ 4:11-13 – &amp;quot;ἔδωκεν... προφήτας... μέχρι καταντήσωμεν...&amp;quot; (បានប្រទានហោរា... រហូតដល់យើងទទួលបានឯកភាព។ )</w:t>
      </w:r>
    </w:p>
    <w:p w14:paraId="716B8E10" w14:textId="3950F57D" w:rsidR="00EF3A4E" w:rsidRDefault="00EF3A4E" w:rsidP="00EF3A4E">
      <w:pPr>
        <w:pStyle w:val="Heading2"/>
      </w:pPr>
      <w:r>
        <w:t>១០. ភាពពុករលួយទាំងស្រុង (មនុស្សមិនអាចស្វែងរកព្រះដោយគ្មានព្រះគុណ) – ស្នូលនៃផ្កា TULIP របស់ Calvin</w:t>
      </w:r>
    </w:p>
    <w:p w14:paraId="2EB527EB" w14:textId="77777777" w:rsidR="00EF3A4E" w:rsidRDefault="00EF3A4E" w:rsidP="00EF3A4E">
      <w:r>
        <w:t>កាលវីនបានបង្រៀនពីភាពអសមត្ថភាពទាំងស្រុងដោយសារតែអំពើបាប។</w:t>
      </w:r>
    </w:p>
    <w:p w14:paraId="295A269D" w14:textId="77777777" w:rsidR="00EF3A4E" w:rsidRDefault="00EF3A4E" w:rsidP="00EF3A4E">
      <w:r>
        <w:t>អត្ថបទគាំទ្រ៖ រ៉ូម ៣:១០-១១ – &amp;quot;οὐκ ἔστιν δίκαιος οὐδὲ εἷς... οὐκ ἔστιν ὁ ἐκζητῶν τὸν θεόν.&amp;quot; (គ្មាន​អ្នក​ណា​ដែល​សុចរិត... គ្មាន​នរណា​ស្វែង​រក​ព្រះ​ឡើយ)។</w:t>
      </w:r>
    </w:p>
    <w:p w14:paraId="6563238C" w14:textId="77777777" w:rsidR="00EF3A4E" w:rsidRDefault="00EF3A4E" w:rsidP="00EF3A4E">
      <w:r>
        <w:t>ភាពផ្ទុយគ្នា៖ កិច្ចការ 17:27 – &amp;quot;ζητεῖν τὸν θεόν, εἰ ἄρα γε ψηλαφήσαιεν αὐτὸν καὶ εὕροιεν ...&amp;quot; (ដើម្បីស្វែងរកទ្រង់...) សមត្ថភាពក្នុងការស្វែងរក (&amp;quot;ζητεῖν&amp;quot;) ជាមួយនឹង &amp;quot;εὕροιεν&amp;quot; (ស្វែងរក) ជាលទ្ធផលសក្តានុពល។</w:t>
      </w:r>
    </w:p>
    <w:p w14:paraId="00476B51" w14:textId="37A5D556" w:rsidR="00EF3A4E" w:rsidRDefault="00EF3A4E" w:rsidP="00EF3A4E">
      <w:pPr>
        <w:pStyle w:val="Heading2"/>
      </w:pPr>
      <w:r>
        <w:t>១១. ការកំណត់វាសនា/ការបោះឆ្នោតដោយគ្មានលក្ខខណ្ឌ (គ្មានការឆ្លើយតបពីមនុស្ស) – ការផ្តោតអារម្មណ៍របស់ Calvin និង Knox</w:t>
      </w:r>
    </w:p>
    <w:p w14:paraId="2EF2FAB8" w14:textId="77777777" w:rsidR="00EF3A4E" w:rsidRDefault="00EF3A4E" w:rsidP="00EF3A4E">
      <w:r>
        <w:t>ព្រះជ្រើសរើសដោយគ្មានលក្ខខណ្ឌ ដូចជានៅក្នុងវិទ្យាស្ថានរបស់ Calvin។</w:t>
      </w:r>
    </w:p>
    <w:p w14:paraId="5A7D89B8" w14:textId="77777777" w:rsidR="00EF3A4E" w:rsidRDefault="00EF3A4E" w:rsidP="00EF3A4E">
      <w:r>
        <w:t>អត្ថបទគាំទ្រ៖ អេភេសូរ ១:៤-៥ – &amp;quot;ἐξελέξατο ἡμᾶς ἐν αὐτῷ πρὸ καταβολῆς κόσμου... προοορίσας ἡμεᾶς υἱοθεσίαν។&amp;quot; (ជ្រើសរើសយើងមុនពេលបង្កើត... កំណត់ទុកជាមុនចំពោះការចិញ្ចឹម។ )</w:t>
      </w:r>
    </w:p>
    <w:p w14:paraId="51DD4F32" w14:textId="77777777" w:rsidR="00EF3A4E" w:rsidRDefault="00EF3A4E" w:rsidP="00EF3A4E">
      <w:r>
        <w:t>ភាពផ្ទុយគ្នា៖ ពេត្រុសទី ២ ១:១០ – &amp;quot;μᾶλλον, ἀδελφοί, σπουδάσατε βεβαίαν ὑμῶν τὴν κλῆσιν καὶ ἐκνλογ὿... ដើម្បីធ្វើឱ្យការហៅ និងការបោះឆ្នោតរបស់អ្នកប្រាកដ...) &amp;quot;Ποιεῖσθαι&amp;quot; (ដើម្បីធ្វើឱ្យ) បង្កប់ន័យសកម្មភាពរបស់មនុស្សដើម្បីបញ្ជាក់ &amp;quot;ἐκλογὴν&amp;quot; (ការបោះឆ្នោត) ។</w:t>
      </w:r>
    </w:p>
    <w:p w14:paraId="27AB256A" w14:textId="4C60862B" w:rsidR="00EF3A4E" w:rsidRDefault="00EF3A4E" w:rsidP="00EF3A4E">
      <w:pPr>
        <w:pStyle w:val="Heading2"/>
      </w:pPr>
      <w:r>
        <w:t>១២. ចំណងនៃឆន្ទៈ (គ្មានឆន្ទៈសេរីក្នុងសេចក្ដីសង្គ្រោះ) – គោលលទ្ធិរបស់លូធើរនៅក្នុងស្នាដៃដ៏ល្បីល្បាញរបស់គាត់</w:t>
      </w:r>
    </w:p>
    <w:p w14:paraId="259D62D1" w14:textId="77777777" w:rsidR="00EF3A4E" w:rsidRDefault="00EF3A4E" w:rsidP="00EF3A4E">
      <w:r>
        <w:t>លូធើរបានជជែកវែកញែកនៅក្នុងសៀវភៅ The Bondage of the Will ថា មនុស្សខ្វះសេរីភាពក្នុងសេចក្ដីសង្គ្រោះដោយសារតែអំពើបាប។</w:t>
      </w:r>
    </w:p>
    <w:p w14:paraId="64A74AA4" w14:textId="77777777" w:rsidR="00EF3A4E" w:rsidRDefault="00EF3A4E" w:rsidP="00EF3A4E">
      <w:r>
        <w:t>អត្ថបទគាំទ្រ៖ រ៉ូម ៧:១៨ – &amp;quot;οἶδα γὰρ ὅτι οὐκ οἰκεῖ ἐν ἐμοί, τοῦτ᾽ ἔστιν ἐν τῇ σαρἵ μ γὰρ θέλειν παράκειταί μοι, τὸ δὲ κατεργάζεσθαι τὸ καλὸν οὔ។ (ខ្ញុំ​ដឹង​ថា​គ្មាន​អ្វី​ល្អ​នៅ​ក្នុង​ខ្លួន​ខ្ញុំ ពោល​គឺ​នៅ​ក្នុង​សាច់​ឈាម​របស់​ខ្ញុំ ដ្បិត​ឆន្ទៈ​មាន​ស្រាប់ ប៉ុន្តែ​ការ​ប្រព្រឹត្ត​ល្អ​មិន​មែន​ទេ)។</w:t>
      </w:r>
    </w:p>
    <w:p w14:paraId="2C369818" w14:textId="77777777" w:rsidR="00EF3A4E" w:rsidRDefault="00EF3A4E" w:rsidP="00EF3A4E">
      <w:r>
        <w:t>ភាពផ្ទុយគ្នា៖ ភីលីព ២:១២-១៣ – «μετὰ φόβου καὶ τρόμου τὴν ἑαυτῶν σωτηρίαν κατεργάζεσθε· θεὸς θεὸς ἐνεργῶν ἐν ὑμῖν καὶ τὸ θέλειν καὶ τὸ ἐνεργεῖν ὑπὲρ τῆς εὐδοίας ។ (ចូរ​បង្ហើយ​សេចក្ដីសង្គ្រោះ​របស់​អ្នក​ដោយ​កោតខ្លាច ហើយ​ញាប់ញ័រ ដ្បិត​ព្រះជាម្ចាស់​ជា​អ្នក​ដែល​ធ្វើ​ការ​នៅ​ក្នុង​អ្នក​ទាំង​ឲ្យ​មាន​បំណង​ប្រាថ្នា និង​ឲ្យ​ធ្វើ​ការ​តាម​ព្រះហឫទ័យ​ល្អ​របស់​ទ្រង់)។ &amp;quot;Κατεργάζεσθε&amp;quot; (ហាត់ប្រាណ) បញ្ជា​ឲ្យ​មាន​ការ​ចូលរួម​យ៉ាង​សកម្ម​របស់​មនុស្ស​ក្នុង &amp;quot;σωτηρίαν&amp;quot; (សេចក្ដីសង្គ្រោះ) រួម​ជាមួយ​កិច្ចការ​របស់​ព្រះជាម្ចាស់។</w:t>
      </w:r>
    </w:p>
    <w:p w14:paraId="2F7C8312" w14:textId="029DF9AE" w:rsidR="00EF3A4E" w:rsidRDefault="00EF3A4E" w:rsidP="00EF3A4E">
      <w:pPr>
        <w:pStyle w:val="Heading2"/>
      </w:pPr>
      <w:r>
        <w:t>១៣. ការប្រោសលោះមានកំណត់ (ព្រះគ្រីស្ទបានសុគតសម្រាប់តែអ្នកដែលបានជ្រើសរើស) – ការបង្រៀនរបស់កាល់វីន</w:t>
      </w:r>
    </w:p>
    <w:p w14:paraId="4D04CFE8" w14:textId="77777777" w:rsidR="00EF3A4E" w:rsidRDefault="00EF3A4E" w:rsidP="00EF3A4E">
      <w:r>
        <w:t>កាល់វីន ជឿជាក់ថា ការសុគតរបស់ព្រះគ្រីស្ទ មានប្រសិទ្ធភាពសម្រាប់តែអ្នកដែលបានជ្រើសរើសប៉ុណ្ណោះ។</w:t>
      </w:r>
    </w:p>
    <w:p w14:paraId="067B5C68" w14:textId="77777777" w:rsidR="00EF3A4E" w:rsidRDefault="00EF3A4E" w:rsidP="00EF3A4E">
      <w:r>
        <w:t>អត្ថបទគាំទ្រ៖ ម៉ាថាយ ២៦:២៨ – &amp;quot;τοῦτο γάρ ἐστιν τὸ αἷμά μου τῆς διαθήκης τὸ περὶ πολλῶν ἐμεχον ἄφεσιν ἁμαρτιῶν។ ( នេះ​ជា​ឈាម​នៃ​សេចក្ដី​សញ្ញា​របស់​ខ្ញុំ​ដែល​បាន​បង្ហូរ​សម្រាប់​មនុស្ស​ជា​ច្រើន​សម្រាប់​ការ​អភ័យទោស​ពី​អំពើ​បាប ) ។</w:t>
      </w:r>
    </w:p>
    <w:p w14:paraId="7AEAFA14" w14:textId="77777777" w:rsidR="00EF3A4E" w:rsidRDefault="00EF3A4E" w:rsidP="00EF3A4E">
      <w:r>
        <w:t>ភាពផ្ទុយគ្នា៖ យ៉ូហានទី១ ២:២ – «καὶ αὐτὸς ἱλασμός ἐστιν περὶ τῶν ἁμαρτιῶν ἡμῶν, ον περὶ τ δὲ μόνον ἀλλὰ καὶ περὶ ὅλου τοῦ κόσμου ។ (ទ្រង់គឺជាអ្នកលើកលែងទោសចំពោះអំពើបាបរបស់យើង ហើយមិនមែនសម្រាប់តែយើងប៉ុណ្ណោះទេ ប៉ុន្តែសម្រាប់ពិភពលោកទាំងមូលផងដែរ។) &amp;quot;Ὅλου τοῦ κόσμου&amp;quot; (ពិភពលោកទាំងមូល) លាតសន្ធឹងលើសពីអ្នកជ្រើសរើស។</w:t>
      </w:r>
    </w:p>
    <w:p w14:paraId="4143D036" w14:textId="31F1446B" w:rsidR="00EF3A4E" w:rsidRDefault="00EF3A4E" w:rsidP="00EF3A4E">
      <w:pPr>
        <w:pStyle w:val="Heading2"/>
      </w:pPr>
      <w:r>
        <w:t>១៤. វាសនាពីរ (ព្រះបានទាយទុកជាមុនចំពោះអ្នកខ្លះរហូតដល់មានទោស) - បង្កប់ន័យនៅក្នុង Calvin និង Knox</w:t>
      </w:r>
    </w:p>
    <w:p w14:paraId="479426F4" w14:textId="77777777" w:rsidR="00EF3A4E" w:rsidRDefault="00EF3A4E" w:rsidP="00EF3A4E">
      <w:r>
        <w:t>ការកំណត់វាសនារបស់ Calvin រួមមានការប្រមាថមើលងាយចំពោះអ្នកដែលមិនមែនជាអ្នកជ្រើសរើស។</w:t>
      </w:r>
    </w:p>
    <w:p w14:paraId="28F12A3B" w14:textId="77777777" w:rsidR="00EF3A4E" w:rsidRDefault="00EF3A4E" w:rsidP="00EF3A4E">
      <w:r>
        <w:t>អត្ថបទគាំទ្រ៖ រ៉ូម ៩:២២ – «εἰ δὲ θέλων ὁ θεὸς ἐνδείξασθαι τὴν ὀργὴν καὶ γνωρίσαι τḸι τḨ αὐτοῦ ἤνεγκεν ἐν πολλῇ μακροθυμίᾳ σκεύη ὀργῆς κατηρτισμένα εἰς ἀπώλεια&amp;quot; ។ (ចុះ​បើ​ព្រះ​ទ្រង់​សព្វ​ព្រះទ័យ​នឹង​បង្ហាញ​សេចក្តី​ក្រោធ... ស៊ូទ្រាំ​នឹង​គ្រឿង​នៃ​សេចក្តី​ក្រោធ ដែល​បាន​រៀបចំ​សម្រាប់​ការ​បំផ្លិចបំផ្លាញ។ )</w:t>
      </w:r>
    </w:p>
    <w:p w14:paraId="3583B4B6" w14:textId="77777777" w:rsidR="00EF3A4E" w:rsidRDefault="00EF3A4E" w:rsidP="00EF3A4E">
      <w:r>
        <w:t>ភាពផ្ទុយគ្នា៖ ពេត្រុសទី២ ៣:៩ – «μὴ βουλόμενός τινας ἀπολέσθαι ἀλλὰ πάντας εἰς μετάνοιαν χωρῆσαι ។ (មិនមានបំណងចង់ឱ្យនរណាម្នាក់ត្រូវវិនាសទេ ប៉ុន្តែមនុស្សទាំងអស់បានប្រែចិត្ត។</w:t>
      </w:r>
    </w:p>
    <w:p w14:paraId="24970218" w14:textId="5EA9DCAD" w:rsidR="00BF450E" w:rsidRPr="00EF3A4E" w:rsidRDefault="00EF3A4E" w:rsidP="00EF3A4E">
      <w:r>
        <w:t>ឯកសារនេះបង្ហាញពីភាពតានតឹងរបស់ក្រិកនៅក្នុងព្រះគម្ពីរសញ្ញាថ្មី ដែលបង្ហាញថាការសង្កត់ធ្ងន់របស់ពួកប្រូតេស្តង់ ទោះបីជាជាការកែទម្រង់ក៏ដោយ អាចធ្វើឱ្យគោលលទ្ធិមិនពេញលេញ - ដែលបន្ទរការអំពាវនាវរបស់សើឌីសឱ្យពង្រឹងនិងប្រែចិត្ត។</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