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Mensaje a la Iglesia de Sardis: Doctrinas protestantes examinadas a la luz del griego del Nuevo Testamento</w:t>
      </w:r>
    </w:p>
    <w:p w14:paraId="7BB40912" w14:textId="77777777" w:rsidR="00EF3A4E" w:rsidRDefault="00EF3A4E" w:rsidP="00EF3A4E">
      <w:pPr>
        <w:pStyle w:val="Subtitle"/>
      </w:pPr>
      <w:r>
        <w:t>Enmarcando los principios protestantes a través del prisma de las contradicciones bíblicas.</w:t>
      </w:r>
    </w:p>
    <w:p w14:paraId="69F92AD7" w14:textId="77777777" w:rsidR="00EF3A4E" w:rsidRDefault="00EF3A4E" w:rsidP="00EF3A4E">
      <w:r>
        <w:t>En el libro del Apocalipsis, Jesús se dirige a siete iglesias de Asia Menor, ofreciéndoles elogios, reprensiones y exhortaciones al arrepentimiento según su estado espiritual. Entre ellas, la iglesia de Sardis destaca por ser particularmente idónea para enmarcar este análisis de las doctrinas protestantes a la luz de las contradicciones del Nuevo Testamento. Jesús le dice a Sardis en Apocalipsis 3:1-3 (griego: &amp;quot;Καὶ τῷ ἀγγέλῳ τῆς ἐν Σάρδεσιν ἐκκλησίας γράψον· Τάδε λέγει ὁ ἔχων τὰ ἑπτὰ πνεύματα τοῦ θεοῦ καὶ τοὺς ἑπτὰ ἀστέρας· οἶδά σου τὰ ἔργα ὅτι ὄνομα ἔχεις ὅτι ζῇς, καὶ νεκρὸς εἶ. γίνου γρηγορῶν καὶ στήρισον τὰ λοιπὰ ἃ ἔμελλον ἀποθανεῖν· οὐ γὰρ εὕρηκά σου τὰ ἔργα πεπληρωμένα ἐνώπιον τοῦ θεοῦ μου. μνημόνευε οὖν πῶς εἴληφας καὶ ἤκουσας καὶ τήρει καὶ μετανόησον.&amp;quot; – Traducción literal: &amp;quot;Y Escribe al ángel de la iglesia de Sardis: Estas cosas dice el que tiene los siete espíritus de Dios y las siete estrellas: Conozco tus obras, el nombre que tienes, que vives, y estás muerto. Mantente alerta y fortalece a los que están a punto de morir; porque no he hallado tus obras terminadas delante de mi Dios. Recuerda, pues, cómo recibiste y oíste, y guárdalo y arrepiéntete.</w:t>
      </w:r>
    </w:p>
    <w:p w14:paraId="7637B7F7" w14:textId="77777777" w:rsidR="00EF3A4E" w:rsidRDefault="00EF3A4E" w:rsidP="00EF3A4E">
      <w:r>
        <w:t>Esta reprensión pone de relieve una iglesia con un «nombre» (ὄνομα) o reputación de estar viva (ζῇς), pero espiritualmente muerta (νεκρὸς), con obras (ἔργα) incompletas (οὐ... πεπληρωμένα – no completadas/realizadas). El protestantismo, con su énfasis en la reforma, la sola scriptura y la fe sola, suele tener fama de fidelidad bíblica y fe vibrante. Sin embargo, las tensiones textuales identificadas a continuación —extraídas únicamente del griego del Nuevo Testamento— sugieren áreas donde las doctrinas pueden parecer sólidas, pero no alcanzan el testimonio bíblico completo, al igual que las obras incompletas de Sardis. Esto exige recordar lo que se &amp;quot;recibió y escuchó&amp;quot; (εἴληφας καὶ ἤκουσας), mantenerse vigilante (γρηγορῶν) y arrepentirse (μετανόησον) para fortalecer lo que permanece. A continuación, se recopila y organiza el análisis en un documento coherente, centrándose en las doctrinas protestantes clave y sus fricciones con los textos del Nuevo Testamento, incorporando contradicciones adicionales para mayor exhaustividad, incluidas aquellas inspiradas por las obras de Martín Lutero (por ejemplo, la esclavitud de la voluntad, la justificación solo por la fe), Juan Calvino (por ejemplo, la expiación limitada, la elección incondicional) y otros reformadores como Ulrico Zwinglio (los sacramentos simbólicos) y John Knox (el énfasis en la predestinación).</w:t>
      </w:r>
    </w:p>
    <w:p w14:paraId="5A947C89" w14:textId="77777777" w:rsidR="00EF3A4E" w:rsidRDefault="00EF3A4E" w:rsidP="00EF3A4E">
      <w:pPr>
        <w:pStyle w:val="Heading1"/>
      </w:pPr>
      <w:r>
        <w:t>Doctrinas protestantes fundamentales y tensiones textuales en el griego del Nuevo Testamento</w:t>
      </w:r>
    </w:p>
    <w:p w14:paraId="639E4F4F" w14:textId="77777777" w:rsidR="00EF3A4E" w:rsidRDefault="00EF3A4E" w:rsidP="00EF3A4E">
      <w:r>
        <w:t>El protestantismo abarca diversas ramas, pero se centra en principios como las &amp;quot;Cinco Solas&amp;quot;. Esta sección examina estos principios a la luz de los textos griegos del Nuevo Testamento, destacando los argumentos a favor y en contradicción basados exclusivamente en la redacción, la gramática y la estructura.</w:t>
      </w:r>
    </w:p>
    <w:p w14:paraId="0C0E0022" w14:textId="77777777" w:rsidR="00EF3A4E" w:rsidRDefault="00EF3A4E" w:rsidP="00EF3A4E">
      <w:pPr>
        <w:pStyle w:val="Heading2"/>
      </w:pPr>
      <w:r>
        <w:t>1. Sola Fide (Justificación por la fe sola) – Enfatizado por Lutero</w:t>
      </w:r>
    </w:p>
    <w:p w14:paraId="7286D9F4" w14:textId="77777777" w:rsidR="00EF3A4E" w:rsidRDefault="00EF3A4E" w:rsidP="00EF3A4E">
      <w:r>
        <w:t>Esta doctrina, fundamental en la teología de Lutero (por ejemplo, en su comentario sobre Romanos y Gálatas), postula la justificación únicamente por la fe, sin que contribuyan las obras.</w:t>
      </w:r>
    </w:p>
    <w:p w14:paraId="715E1048" w14:textId="77777777" w:rsidR="00EF3A4E" w:rsidRDefault="00EF3A4E" w:rsidP="00EF3A4E">
      <w:r>
        <w:t>Texto de apoyo: Efesios 2:8-9 – &amp;quot;τῇ γὰρ χάριτί ἐστε σεσῳσμένοι διὰ πίστεως· καὶ τοῦτο οὐκ ἐξ ὑμῶν, θεοῦ τὸ δῶρον· οὐκ ἐξ ἔργων, ἵνα μή τις καυχήσηται.&amp;quot; (Por gracia habéis sido salvados mediante la fe... no por obras.)</w:t>
      </w:r>
    </w:p>
    <w:p w14:paraId="64BB5A49" w14:textId="77777777" w:rsidR="00EF3A4E" w:rsidRDefault="00EF3A4E" w:rsidP="00EF3A4E">
      <w:r>
        <w:t>Contradicción: Santiago 2:24 – &amp;quot;ὁρᾶτε ὅτι ἐξ ἔργων δικαιοῦται ἄνθρωπος καὶ οὐκ ἐκ πίστεως μόνον.&amp;quot; (Por las obras una persona es justificada y no sólo por la fe.) Santiago usa &amp;quot;μόνον&amp;quot; para negar la fe aislada, y 2:21-22 muestra una fe &amp;quot;perfeccionada&amp;quot; (ἐτελειώθη) por las obras.</w:t>
      </w:r>
    </w:p>
    <w:p w14:paraId="4AE17959" w14:textId="57C6AC52" w:rsidR="00EF3A4E" w:rsidRDefault="001D219D" w:rsidP="00EF3A4E">
      <w:pPr>
        <w:pStyle w:val="Heading2"/>
      </w:pPr>
      <w:r>
        <w:t>2. El bautismo como ordenanza simbólica (no regenerativa): varió entre los reformadores (por ejemplo, la visión simbólica de Zwinglio).</w:t>
      </w:r>
    </w:p>
    <w:p w14:paraId="08244CDD" w14:textId="77777777" w:rsidR="00EF3A4E" w:rsidRDefault="00EF3A4E" w:rsidP="00EF3A4E">
      <w:r>
        <w:t>Lutero y Calvino consideraban que el bautismo transmitía la gracia (especialmente para los bebés), pero muchos protestantes (influenciados por Zwinglio) lo ven de forma simbólica.</w:t>
      </w:r>
    </w:p>
    <w:p w14:paraId="32889231" w14:textId="77777777" w:rsidR="00EF3A4E" w:rsidRDefault="00EF3A4E" w:rsidP="00EF3A4E">
      <w:r>
        <w:t>Texto de apoyo: Romanos 6:3-4 – &amp;quot;ὅσοι ἐβαπτίσθημεν εἰς Χριστὸν Ἰησοῦν εἰς τὸν θάνατον αὐτοῦ ἐβαπτίσθημεν...&amp;quot; (Bautizado en su muerte... simbolizando la unión.)</w:t>
      </w:r>
    </w:p>
    <w:p w14:paraId="78C8DB09" w14:textId="77777777" w:rsidR="00EF3A4E" w:rsidRDefault="00EF3A4E" w:rsidP="00EF3A4E">
      <w:r>
        <w:t>Contradicciones:</w:t>
      </w:r>
    </w:p>
    <w:p w14:paraId="6D8A20A9" w14:textId="77777777" w:rsidR="00EF3A4E" w:rsidRDefault="00EF3A4E" w:rsidP="00EF3A4E">
      <w:pPr>
        <w:pStyle w:val="ListParagraph"/>
        <w:numPr>
          <w:ilvl w:val="0"/>
          <w:numId w:val="17"/>
        </w:numPr>
      </w:pPr>
      <w:r>
        <w:t>Hechos 2:38 – &amp;quot;βαπτισθήτω ἕκαστος... εἰς ἄφεσιν τῶν ἁμαρτιῶν&amp;quot;. (Ser bautizado para el perdón de los pecados).</w:t>
      </w:r>
    </w:p>
    <w:p w14:paraId="3BC8EC99" w14:textId="77777777" w:rsidR="00EF3A4E" w:rsidRDefault="00EF3A4E" w:rsidP="00EF3A4E">
      <w:pPr>
        <w:pStyle w:val="ListParagraph"/>
        <w:numPr>
          <w:ilvl w:val="0"/>
          <w:numId w:val="17"/>
        </w:numPr>
      </w:pPr>
      <w:r>
        <w:t>Tito 3:5 – &amp;quot;ἔσωσεν ἡμᾶς διὰ λουτροῦ παλιγγενεσίας καὶ ἀνακαινώσεως πνεύματος ἁγίου.&amp;quot; (Salvos mediante el lavamiento de la regeneración y la renovación del Espíritu Santo).</w:t>
      </w:r>
    </w:p>
    <w:p w14:paraId="060E0DCA" w14:textId="77777777" w:rsidR="00EF3A4E" w:rsidRDefault="00EF3A4E" w:rsidP="00EF3A4E">
      <w:pPr>
        <w:pStyle w:val="ListParagraph"/>
        <w:numPr>
          <w:ilvl w:val="0"/>
          <w:numId w:val="17"/>
        </w:numPr>
      </w:pPr>
      <w:r>
        <w:t>1 Pedro 3:21 – &amp;quot;νῦν σῴζει βάπτισμα...&amp;quot; (El bautismo ahora salva... como antitipo).</w:t>
      </w:r>
    </w:p>
    <w:p w14:paraId="7E38224B" w14:textId="77777777" w:rsidR="00EF3A4E" w:rsidRDefault="00EF3A4E" w:rsidP="00EF3A4E">
      <w:r>
        <w:t>En relación con la resolución propuesta: &amp;quot;Διὰ&amp;quot; enlaza frases coordinadas (&amp;quot;lavado de regeneración y renovación&amp;quot;), sin equipararlas; la estructura presenta elementos distintos.</w:t>
      </w:r>
    </w:p>
    <w:p w14:paraId="77C3C148" w14:textId="19E7BB5F" w:rsidR="00EF3A4E" w:rsidRDefault="001D219D" w:rsidP="00EF3A4E">
      <w:pPr>
        <w:pStyle w:val="Heading2"/>
      </w:pPr>
      <w:r>
        <w:t>3. La perseverancia de los santos (Una vez salvo, siempre salvo) – Clave en la teología de Calvino.</w:t>
      </w:r>
    </w:p>
    <w:p w14:paraId="42B8B0F9" w14:textId="77777777" w:rsidR="00EF3A4E" w:rsidRDefault="00EF3A4E" w:rsidP="00EF3A4E">
      <w:r>
        <w:t>Calvino enseñó que los elegidos perseveran eternamente.</w:t>
      </w:r>
    </w:p>
    <w:p w14:paraId="78004251" w14:textId="77777777" w:rsidR="00EF3A4E" w:rsidRDefault="00EF3A4E" w:rsidP="00EF3A4E">
      <w:r>
        <w:t>Texto de apoyo: Romanos 8:38-39 – &amp;quot;οὔτε θάνατος οὔτε ζωὴ... δυνήσεται ἡμᾶς χωρίσαι...&amp;quot; (Nada puede separarnos del amor de Dios).</w:t>
      </w:r>
    </w:p>
    <w:p w14:paraId="3CD7F963" w14:textId="77777777" w:rsidR="00EF3A4E" w:rsidRDefault="00EF3A4E" w:rsidP="00EF3A4E">
      <w:r>
        <w:t>Contradicción: Hebreos 6:4-6 – &amp;quot;ἀδύνατον... τοὺς ἅπαξ φωτισθέντας... καὶ παραπεσόντας πάλιν ἀνακαινίζειν...&amp;quot; (Imposible renovar a los iluminados pero caídos.)</w:t>
      </w:r>
    </w:p>
    <w:p w14:paraId="22CD9BCA" w14:textId="6550D7C0" w:rsidR="00EF3A4E" w:rsidRDefault="001D219D" w:rsidP="00EF3A4E">
      <w:pPr>
        <w:pStyle w:val="Heading2"/>
      </w:pPr>
      <w:r>
        <w:t>4. La Cena del Señor como mero símbolo – Defendida por Zwinglio</w:t>
      </w:r>
    </w:p>
    <w:p w14:paraId="31CCD878" w14:textId="77777777" w:rsidR="00EF3A4E" w:rsidRDefault="00EF3A4E" w:rsidP="00EF3A4E">
      <w:r>
        <w:t>Lutero defendía la consustanciación, pero Zwinglio y muchos protestantes la consideran puramente simbólica.</w:t>
      </w:r>
    </w:p>
    <w:p w14:paraId="762827D7" w14:textId="77777777" w:rsidR="00EF3A4E" w:rsidRDefault="00EF3A4E" w:rsidP="00EF3A4E">
      <w:r>
        <w:t>Texto de apoyo: 1 Corintios 11:24-25 – &amp;quot;τοῦτο ποιεῖτε εἰς τὴν ἐμὴν ἀνάμνησιν&amp;quot;. (Haz esto para mi memoria.)</w:t>
      </w:r>
    </w:p>
    <w:p w14:paraId="1D7180D3" w14:textId="77777777" w:rsidR="00EF3A4E" w:rsidRDefault="00EF3A4E" w:rsidP="00EF3A4E">
      <w:r>
        <w:t>Contradicciones:</w:t>
      </w:r>
    </w:p>
    <w:p w14:paraId="7676D507" w14:textId="77777777" w:rsidR="00EF3A4E" w:rsidRDefault="00EF3A4E" w:rsidP="00EF3A4E">
      <w:pPr>
        <w:pStyle w:val="ListParagraph"/>
        <w:numPr>
          <w:ilvl w:val="0"/>
          <w:numId w:val="18"/>
        </w:numPr>
      </w:pPr>
      <w:r>
        <w:t>Juan 6:53-56 – &amp;quot;ἐὰν μὴ φάγητε τὴν σάρκα... ὁ τρώγων μου τὴν σάρκα... ἐν ἐμοὶ μένει.&amp;quot; (A menos que comáis la carne... el que roe, permanece en mí.)</w:t>
      </w:r>
    </w:p>
    <w:p w14:paraId="63C53247" w14:textId="77777777" w:rsidR="00EF3A4E" w:rsidRDefault="00EF3A4E" w:rsidP="00EF3A4E">
      <w:pPr>
        <w:pStyle w:val="ListParagraph"/>
        <w:numPr>
          <w:ilvl w:val="0"/>
          <w:numId w:val="18"/>
        </w:numPr>
      </w:pPr>
      <w:r>
        <w:t>1 Corintios 11:27-29 – &amp;quot;ἔνοχος ἔσται τοῦ σώματος καὶ τοῦ αἵματος... κρίμα ἑαυτῷ ἐσθίει.&amp;quot; (Culpable del cuerpo y la sangre... devora el juicio.)</w:t>
      </w:r>
    </w:p>
    <w:p w14:paraId="0E931A0E" w14:textId="4FCD0DF3" w:rsidR="00EF3A4E" w:rsidRDefault="001D219D" w:rsidP="00EF3A4E">
      <w:pPr>
        <w:pStyle w:val="Heading2"/>
      </w:pPr>
      <w:r>
        <w:t>5. Confesión directa solo a Dios: común en el pensamiento protestante.</w:t>
      </w:r>
    </w:p>
    <w:p w14:paraId="2D8D9664" w14:textId="77777777" w:rsidR="00EF3A4E" w:rsidRDefault="00EF3A4E" w:rsidP="00EF3A4E">
      <w:r>
        <w:t>Reformadores como Lutero rechazaron la confesión auricular ante los sacerdotes.</w:t>
      </w:r>
    </w:p>
    <w:p w14:paraId="10DF0050" w14:textId="77777777" w:rsidR="00EF3A4E" w:rsidRDefault="00EF3A4E" w:rsidP="00EF3A4E">
      <w:r>
        <w:t>Texto de apoyo: 1 Juan 1:9 – &amp;quot;ἐὰν ὁμολογῶμεν τὰς ἁμαρτίας ἡμῶν... ἀφῇ ἡμῖν&amp;quot;. (Si confesamos... él perdona.)</w:t>
      </w:r>
    </w:p>
    <w:p w14:paraId="6816ED13" w14:textId="77777777" w:rsidR="00EF3A4E" w:rsidRDefault="00EF3A4E" w:rsidP="00EF3A4E">
      <w:r>
        <w:t>Contradicciones:</w:t>
      </w:r>
    </w:p>
    <w:p w14:paraId="4BB69E58" w14:textId="77777777" w:rsidR="00EF3A4E" w:rsidRDefault="00EF3A4E" w:rsidP="00EF3A4E">
      <w:pPr>
        <w:pStyle w:val="ListParagraph"/>
        <w:numPr>
          <w:ilvl w:val="0"/>
          <w:numId w:val="19"/>
        </w:numPr>
      </w:pPr>
      <w:r>
        <w:t>Santiago 5:16 – &amp;quot;ἐξομολογεῖσθε ἀλλήλοις τὰς ἁμαρτίας&amp;quot;. (Confiésense unos a otros.)</w:t>
      </w:r>
    </w:p>
    <w:p w14:paraId="605DB6AE" w14:textId="77777777" w:rsidR="00EF3A4E" w:rsidRDefault="00EF3A4E" w:rsidP="00EF3A4E">
      <w:pPr>
        <w:pStyle w:val="ListParagraph"/>
        <w:numPr>
          <w:ilvl w:val="0"/>
          <w:numId w:val="19"/>
        </w:numPr>
      </w:pPr>
      <w:r>
        <w:t>Juan 20:23 – &amp;quot;ἄν τινων ἀφῆτε τὰς ἁμαρτίας ἀφέωνται αὐτοῖς&amp;quot;. (Si perdonas... ellos han sido perdonados.)</w:t>
      </w:r>
    </w:p>
    <w:p w14:paraId="721B0357" w14:textId="0D6D0E1F" w:rsidR="00EF3A4E" w:rsidRDefault="001D219D" w:rsidP="00EF3A4E">
      <w:pPr>
        <w:pStyle w:val="Heading2"/>
      </w:pPr>
      <w:r>
        <w:t>6. El juicio final no se basa en las obras, sino únicamente en la fe de Lutero.</w:t>
      </w:r>
    </w:p>
    <w:p w14:paraId="181F9DE2" w14:textId="77777777" w:rsidR="00EF3A4E" w:rsidRDefault="00EF3A4E" w:rsidP="00EF3A4E">
      <w:r>
        <w:t>Lutero hizo hincapié en la fe por encima de las obras a la hora de juzgar.</w:t>
      </w:r>
    </w:p>
    <w:p w14:paraId="62B24B8D" w14:textId="77777777" w:rsidR="00EF3A4E" w:rsidRDefault="00EF3A4E" w:rsidP="00EF3A4E">
      <w:r>
        <w:t>Texto de apoyo: Romanos 3:28 – &amp;quot;δικαιοῦσθαι πίστει ἄνθρωπον χωρὶς ἔργων νόμου&amp;quot;. (Justificado por la fe aparte de las obras de la ley).</w:t>
      </w:r>
    </w:p>
    <w:p w14:paraId="42234F59" w14:textId="77777777" w:rsidR="00EF3A4E" w:rsidRDefault="00EF3A4E" w:rsidP="00EF3A4E">
      <w:r>
        <w:t>Contradicción: Mateo 25:31-46 – &amp;quot;ἐπείνασα γὰρ καὶ ἐδώκατέ μοι φαγεῖν... ἐφ᾽ ὅσον ἐποιήσατε...&amp;quot; (Tuve hambre y tú diste... tanto como lo hiciste.)</w:t>
      </w:r>
    </w:p>
    <w:p w14:paraId="12118169" w14:textId="02E0E152" w:rsidR="00EF3A4E" w:rsidRDefault="001D219D" w:rsidP="00EF3A4E">
      <w:pPr>
        <w:pStyle w:val="Heading2"/>
      </w:pPr>
      <w:r>
        <w:t>7. Sacerdocio de todos los creyentes (sin clero jerárquico) – El énfasis de Lutero</w:t>
      </w:r>
    </w:p>
    <w:p w14:paraId="4F97D154" w14:textId="77777777" w:rsidR="00EF3A4E" w:rsidRDefault="00EF3A4E" w:rsidP="00EF3A4E">
      <w:r>
        <w:t>Lutero enseñaba que todos los creyentes son sacerdotes, reduciendo así el papel del clero.</w:t>
      </w:r>
    </w:p>
    <w:p w14:paraId="0F36EEBC" w14:textId="77777777" w:rsidR="00EF3A4E" w:rsidRDefault="00EF3A4E" w:rsidP="00EF3A4E">
      <w:r>
        <w:t>Texto de apoyo: 1 Pedro 2:9 – &amp;quot;βασίλειον ἱεράτευμα...&amp;quot; (Sacerdocio real).</w:t>
      </w:r>
    </w:p>
    <w:p w14:paraId="36526960" w14:textId="77777777" w:rsidR="00EF3A4E" w:rsidRDefault="00EF3A4E" w:rsidP="00EF3A4E">
      <w:r>
        <w:t>Contradicciones:</w:t>
      </w:r>
    </w:p>
    <w:p w14:paraId="0FA050EB" w14:textId="77777777" w:rsidR="00EF3A4E" w:rsidRDefault="00EF3A4E" w:rsidP="00EF3A4E">
      <w:pPr>
        <w:pStyle w:val="ListParagraph"/>
        <w:numPr>
          <w:ilvl w:val="0"/>
          <w:numId w:val="20"/>
        </w:numPr>
      </w:pPr>
      <w:r>
        <w:t>1 Timoteo 5:17 – &amp;quot;οἱ καλῶς προεστῶτες πρεσβύτεροι διπλῆς τιμῆς...&amp;quot; (Ancianos gobernantes dignos de doble honor).</w:t>
      </w:r>
    </w:p>
    <w:p w14:paraId="3F3611F8" w14:textId="77777777" w:rsidR="00EF3A4E" w:rsidRDefault="00EF3A4E" w:rsidP="00EF3A4E">
      <w:pPr>
        <w:pStyle w:val="ListParagraph"/>
        <w:numPr>
          <w:ilvl w:val="0"/>
          <w:numId w:val="20"/>
        </w:numPr>
      </w:pPr>
      <w:r>
        <w:t>Hechos 14:23 – &amp;quot;χειροτονήσαντες... πρεσβυτέρους.&amp;quot; (Élderes designados/ordenados.)</w:t>
      </w:r>
    </w:p>
    <w:p w14:paraId="69A7A982" w14:textId="77777777" w:rsidR="00EF3A4E" w:rsidRDefault="00EF3A4E" w:rsidP="00EF3A4E">
      <w:pPr>
        <w:pStyle w:val="ListParagraph"/>
        <w:numPr>
          <w:ilvl w:val="0"/>
          <w:numId w:val="20"/>
        </w:numPr>
      </w:pPr>
      <w:r>
        <w:t>2 Timoteo 1:6 – &amp;quot;διὰ τῆς ἐπιθέσεως τῶν χειρῶν...&amp;quot; (Donación mediante imposición de manos).</w:t>
      </w:r>
    </w:p>
    <w:p w14:paraId="5D6755CE" w14:textId="4F302258" w:rsidR="00EF3A4E" w:rsidRDefault="001D219D" w:rsidP="00EF3A4E">
      <w:pPr>
        <w:pStyle w:val="Heading2"/>
      </w:pPr>
      <w:r>
        <w:t>8. Unción simbólica para los enfermos: en consonancia con algunas posturas protestantes.</w:t>
      </w:r>
    </w:p>
    <w:p w14:paraId="5A215DA4" w14:textId="77777777" w:rsidR="00EF3A4E" w:rsidRDefault="00EF3A4E" w:rsidP="00EF3A4E">
      <w:r>
        <w:t>La sanación a través de la oración, restando importancia a los ritos físicos.</w:t>
      </w:r>
    </w:p>
    <w:p w14:paraId="6E6C565B" w14:textId="77777777" w:rsidR="00EF3A4E" w:rsidRDefault="00EF3A4E" w:rsidP="00EF3A4E">
      <w:r>
        <w:t>Texto de apoyo: Santiago 5:15 (parcial) – &amp;quot;ἡ εὐχὴ τῆς πίστεως σώσει...&amp;quot; (La oración de fe salvará).</w:t>
      </w:r>
    </w:p>
    <w:p w14:paraId="4BE269C8" w14:textId="77777777" w:rsidR="00EF3A4E" w:rsidRDefault="00EF3A4E" w:rsidP="00EF3A4E">
      <w:r>
        <w:t>Contradicción: Santiago 5:14-15 – &amp;quot;προσευξάσθωσαν ἐπ᾽ αὐτὸν ἀλείψαντες αὐτὸν ἐλαίῳ... ἀφεθήσεται αὐτῷ.&amp;quot; (Ore sobre él habiendo ungido con aceite... pecados perdonados.)</w:t>
      </w:r>
    </w:p>
    <w:p w14:paraId="1AC2B63A" w14:textId="1A59FB9C" w:rsidR="00EF3A4E" w:rsidRDefault="001D219D" w:rsidP="00EF3A4E">
      <w:pPr>
        <w:pStyle w:val="Heading2"/>
      </w:pPr>
      <w:r>
        <w:t>9. Cese de los dones espirituales – Sostenida por algunos reformadores como Knox.</w:t>
      </w:r>
    </w:p>
    <w:p w14:paraId="137E188C" w14:textId="77777777" w:rsidR="00EF3A4E" w:rsidRDefault="00EF3A4E" w:rsidP="00EF3A4E">
      <w:r>
        <w:t>Los dones milagrosos cesaron después de los apóstoles.</w:t>
      </w:r>
    </w:p>
    <w:p w14:paraId="349AB9CB" w14:textId="77777777" w:rsidR="00EF3A4E" w:rsidRDefault="00EF3A4E" w:rsidP="00EF3A4E">
      <w:r>
        <w:t>Texto de apoyo: 1 Corintios 13:8-10 – &amp;quot;προφητεῖαι καταργηθήσονται... ὅταν ἔλθῃ τὸ τέλειον...&amp;quot; (Las profecías cesarán cuando el perfecto llega.)</w:t>
      </w:r>
    </w:p>
    <w:p w14:paraId="5337CBEF" w14:textId="77777777" w:rsidR="00EF3A4E" w:rsidRDefault="00EF3A4E" w:rsidP="00EF3A4E">
      <w:r>
        <w:t>Contradicciones:</w:t>
      </w:r>
    </w:p>
    <w:p w14:paraId="2C6CE06C" w14:textId="77777777" w:rsidR="00EF3A4E" w:rsidRDefault="00EF3A4E" w:rsidP="00EF3A4E">
      <w:pPr>
        <w:pStyle w:val="ListParagraph"/>
        <w:numPr>
          <w:ilvl w:val="0"/>
          <w:numId w:val="21"/>
        </w:numPr>
      </w:pPr>
      <w:r>
        <w:t>1 Corintios 14:1, 39 – &amp;quot;ζηλοῦτε... τὸ προφητεύειν καὶ τὸ λαλεῖν μὴ κωλύετε γλώσσαις.&amp;quot; (Sé celoso de profetizar... no prohíbas las lenguas.)</w:t>
      </w:r>
    </w:p>
    <w:p w14:paraId="483DE90B" w14:textId="77777777" w:rsidR="00EF3A4E" w:rsidRDefault="00EF3A4E" w:rsidP="00EF3A4E">
      <w:pPr>
        <w:pStyle w:val="ListParagraph"/>
        <w:numPr>
          <w:ilvl w:val="0"/>
          <w:numId w:val="21"/>
        </w:numPr>
      </w:pPr>
      <w:r>
        <w:t>Efesios 4:11-13 – &amp;quot;ἔδωκεν... προφήτας... μέχρι καταντήσωμεν...&amp;quot; (Dio profetas... hasta que alcancemos la unidad.)</w:t>
      </w:r>
    </w:p>
    <w:p w14:paraId="716B8E10" w14:textId="3950F57D" w:rsidR="00EF3A4E" w:rsidRDefault="00EF3A4E" w:rsidP="00EF3A4E">
      <w:pPr>
        <w:pStyle w:val="Heading2"/>
      </w:pPr>
      <w:r>
        <w:t>10. Depravación total (los seres humanos son incapaces de buscar a Dios sin la gracia) – Fundamental para el TULIP de Calvino.</w:t>
      </w:r>
    </w:p>
    <w:p w14:paraId="2EB527EB" w14:textId="77777777" w:rsidR="00EF3A4E" w:rsidRDefault="00EF3A4E" w:rsidP="00EF3A4E">
      <w:r>
        <w:t>Calvino enseñó la incapacidad total debida al pecado.</w:t>
      </w:r>
    </w:p>
    <w:p w14:paraId="295A269D" w14:textId="77777777" w:rsidR="00EF3A4E" w:rsidRDefault="00EF3A4E" w:rsidP="00EF3A4E">
      <w:r>
        <w:t>Texto de apoyo: Romanos 3:10-11 – &amp;quot;οὐκ ἔστιν δίκαιος οὐδὲ εἷς... οὐκ ἔστιν ὁ ἐκζητῶν τὸν θεόν.&amp;quot; (Ninguno justo… ninguno buscando a Dios.)</w:t>
      </w:r>
    </w:p>
    <w:p w14:paraId="6563238C" w14:textId="77777777" w:rsidR="00EF3A4E" w:rsidRDefault="00EF3A4E" w:rsidP="00EF3A4E">
      <w:r>
        <w:t>Contradicción: Hechos 17:27 – &amp;quot;ζητεῖν τὸν θεόν, εἰ ἄρα γε ψηλαφήσαιεν αὐτὸν καὶ εὕροιεν...&amp;quot; (Buscar a Dios, si tal vez pudieran buscarlo a tientas y encontrar...) Implica capacidad de buscar (&amp;quot;ζητεῖν&amp;quot;), con &amp;quot;εὕροιεν&amp;quot; (encontrar) como resultado potencial.</w:t>
      </w:r>
    </w:p>
    <w:p w14:paraId="00476B51" w14:textId="37A5D556" w:rsidR="00EF3A4E" w:rsidRDefault="00EF3A4E" w:rsidP="00EF3A4E">
      <w:pPr>
        <w:pStyle w:val="Heading2"/>
      </w:pPr>
      <w:r>
        <w:t>11. Predestinación/Elección incondicional (sin respuesta humana) – El enfoque de Calvin y Knox</w:t>
      </w:r>
    </w:p>
    <w:p w14:paraId="2EF2FAB8" w14:textId="77777777" w:rsidR="00EF3A4E" w:rsidRDefault="00EF3A4E" w:rsidP="00EF3A4E">
      <w:r>
        <w:t>Dios elige incondicionalmente, como en las Instituciones de la Fe de Calvino.</w:t>
      </w:r>
    </w:p>
    <w:p w14:paraId="5A7D89B8" w14:textId="77777777" w:rsidR="00EF3A4E" w:rsidRDefault="00EF3A4E" w:rsidP="00EF3A4E">
      <w:r>
        <w:t>Texto de apoyo: Efesios 1:4-5 – &amp;quot;ἐξελέξατο ἡμᾶς ἐν αὐτῷ πρὸ καταβολῆς κόσμου... προορίσας ἡμᾶς εἰς υἱοθεσίαν.&amp;quot; (Elegirnos antes de la fundación... predestinados a la adopción).</w:t>
      </w:r>
    </w:p>
    <w:p w14:paraId="51DD4F32" w14:textId="77777777" w:rsidR="00EF3A4E" w:rsidRDefault="00EF3A4E" w:rsidP="00EF3A4E">
      <w:r>
        <w:t>Contradicción: 2 Pedro 1:10 – &amp;quot;μᾶλλον, ἀδελφοί, σπουδάσατε βεβαίαν ὑμῶν τὴν κλῆσιν καὶ ἐκλογὴν ποιεῖσθαι...&amp;quot; (Sé diligente para hacer segura tu vocación y elección...) &amp;quot;Ποιεῖσθαι&amp;quot; (hacer) implica acción humana para confirmar &amp;quot;ἐκλογὴν&amp;quot; (elección).</w:t>
      </w:r>
    </w:p>
    <w:p w14:paraId="27AB256A" w14:textId="4C60862B" w:rsidR="00EF3A4E" w:rsidRDefault="00EF3A4E" w:rsidP="00EF3A4E">
      <w:pPr>
        <w:pStyle w:val="Heading2"/>
      </w:pPr>
      <w:r>
        <w:t>12. La esclavitud de la voluntad (la ausencia de libre albedrío en la salvación) – La doctrina de Lutero en su famosa obra.</w:t>
      </w:r>
    </w:p>
    <w:p w14:paraId="259D62D1" w14:textId="77777777" w:rsidR="00EF3A4E" w:rsidRDefault="00EF3A4E" w:rsidP="00EF3A4E">
      <w:r>
        <w:t>En su obra La esclavitud de la voluntad, Lutero argumentó que los seres humanos carecen de libre albedrío para la salvación debido al pecado.</w:t>
      </w:r>
    </w:p>
    <w:p w14:paraId="64A74AA4" w14:textId="77777777" w:rsidR="00EF3A4E" w:rsidRDefault="00EF3A4E" w:rsidP="00EF3A4E">
      <w:r>
        <w:t>Texto de apoyo: Romanos 7:18 – &amp;quot;οἶδα γὰρ ὅτι οὐκ οἰκεῖ ἐν ἐμοί, τοῦτ᾽ ἔστιν ἐν τῇ σαρκί μου, ἀγαθόν · τὸ γὰρ θέλειν παράκειταί μοι, τὸ δὲ κατεργάζεσθαι τὸ καλὸν οὔ.&amp;quot; (Sé que en mí, es decir, en mi carne, no habita nada bueno; porque el querer está presente, pero el hacer el bien no.)</w:t>
      </w:r>
    </w:p>
    <w:p w14:paraId="2C369818" w14:textId="77777777" w:rsidR="00EF3A4E" w:rsidRDefault="00EF3A4E" w:rsidP="00EF3A4E">
      <w:r>
        <w:t>Contradicción: Filipenses 2:12-13 – &amp;quot;μετὰ φόβου καὶ τρόμου τὴν ἑαυτῶν σωτηρίαν κατεργάζεσθε· θεὸς γάρ ἐστιν ὁ ἐνεργῶν ἐν ὑμῖν καὶ τὸ θέλειν καὶ τὸ ἐνεργεῖν ὑπὲρ τῆς εὐδοκίας.&amp;quot; (Ocupaos en vuestra salvación con temor y temblor; porque Dios es quien obra en vosotros tanto el querer como el hacer para su buena voluntad.) &amp;quot;Κατεργάζεσθε&amp;quot; (trabajar) exige la participación humana activa en &amp;quot;σωτηρίαν&amp;quot; (salvación), junto con la obra de Dios.</w:t>
      </w:r>
    </w:p>
    <w:p w14:paraId="2F7C8312" w14:textId="029DF9AE" w:rsidR="00EF3A4E" w:rsidRDefault="00EF3A4E" w:rsidP="00EF3A4E">
      <w:pPr>
        <w:pStyle w:val="Heading2"/>
      </w:pPr>
      <w:r>
        <w:t>13. Expiación limitada (Cristo murió solo por los elegidos) – La enseñanza de Calvino</w:t>
      </w:r>
    </w:p>
    <w:p w14:paraId="4D04CFE8" w14:textId="77777777" w:rsidR="00EF3A4E" w:rsidRDefault="00EF3A4E" w:rsidP="00EF3A4E">
      <w:r>
        <w:t>Calvino sostenía que la muerte de Cristo solo era eficaz para los elegidos.</w:t>
      </w:r>
    </w:p>
    <w:p w14:paraId="067B5C68" w14:textId="77777777" w:rsidR="00EF3A4E" w:rsidRDefault="00EF3A4E" w:rsidP="00EF3A4E">
      <w:r>
        <w:t>Texto de apoyo: Mateo 26:28 – &amp;quot;τοῦτο γάρ ἐστιν τὸ αἷμά μου τῆς διαθήκης τὸ περὶ πολλῶν ἐκχυννόμενον εἰς ἄφεσιν ἁμαρτιῶν.&amp;quot; (Esta es mi sangre del pacto derramada por muchos para el perdón de los pecados).</w:t>
      </w:r>
    </w:p>
    <w:p w14:paraId="7AEAFA14" w14:textId="77777777" w:rsidR="00EF3A4E" w:rsidRDefault="00EF3A4E" w:rsidP="00EF3A4E">
      <w:r>
        <w:t>Contradicción: 1 Juan 2:2 – &amp;quot;καὶ αὐτὸς ἱλασμός ἐστιν περὶ τῶν ἁμαρτιῶν ἡμῶν, οὐ &amp;quot; (Él es la propiciación por nuestros pecados, y no solamente por los nuestros sino también por los del mundo entero.) &amp;quot;Ὅλου τοῦ κόσμου&amp;quot; (mundo entero) se extiende más allá de los elegidos.</w:t>
      </w:r>
    </w:p>
    <w:p w14:paraId="4143D036" w14:textId="31F1446B" w:rsidR="00EF3A4E" w:rsidRDefault="00EF3A4E" w:rsidP="00EF3A4E">
      <w:pPr>
        <w:pStyle w:val="Heading2"/>
      </w:pPr>
      <w:r>
        <w:t>14. Doble predestinación (Dios predestina a algunos a la condenación) – Implícito en Calvino y Knox</w:t>
      </w:r>
    </w:p>
    <w:p w14:paraId="479426F4" w14:textId="77777777" w:rsidR="00EF3A4E" w:rsidRDefault="00EF3A4E" w:rsidP="00EF3A4E">
      <w:r>
        <w:t>La predestinación de Calvino incluye la reprobación para los no elegidos.</w:t>
      </w:r>
    </w:p>
    <w:p w14:paraId="28F12A3B" w14:textId="77777777" w:rsidR="00EF3A4E" w:rsidRDefault="00EF3A4E" w:rsidP="00EF3A4E">
      <w:r>
        <w:t>Texto de apoyo: Romanos 9:22 – &amp;quot;εἰ δὲ θέλων ὁ θεὸς ἐνδείξασθαι τὴν ὀργὴν καὶ γνωρίσαι τὸ δυνατὸν αὐτοῦ ἤνεγκεν ἐν πολλῇ μακροθυμίᾳ σκεύη ὀργῆς κατηρτισμένα εἰς ἀπώλειαν.&amp;quot; (¿Qué pasaría si Dios, dispuesto a mostrar ira... soportó vasos de ira preparados para la destrucción?)</w:t>
      </w:r>
    </w:p>
    <w:p w14:paraId="3583B4B6" w14:textId="77777777" w:rsidR="00EF3A4E" w:rsidRDefault="00EF3A4E" w:rsidP="00EF3A4E">
      <w:r>
        <w:t>Contradicción: 2 Pedro 3:9 – &amp;quot;μὴ βουλόμενός τινας ἀπολέσθαι ἀλλὰ πάντας εἰς μετάνοιαν χωρῆσαι.&amp;quot; (No estoy dispuesto a que ninguno perezca, sino que todos se arrepientan). &amp;quot;Μὴ βουλόμενός&amp;quot; (no está dispuesto) niega el deseo divino de que &amp;quot;τινας ἀπολέσθαι&amp;quot; (cualquiera perezca).</w:t>
      </w:r>
    </w:p>
    <w:p w14:paraId="24970218" w14:textId="5EA9DCAD" w:rsidR="00BF450E" w:rsidRPr="00EF3A4E" w:rsidRDefault="00EF3A4E" w:rsidP="00EF3A4E">
      <w:r>
        <w:t>Este documento revela tensiones en el griego del Nuevo Testamento que sugieren que los énfasis protestantes, si bien son reformadores, pueden dejar doctrinas incompletas, haciéndose eco del llamado de Sardis a fortalecerse y arrepentirse.</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