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Documento exhaustivo: Contradicciones entre el cristianismo evangélico y el del Nuevo Testamento según la Biblia únicamente.</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La iglesia evangélica, como un amplio movimiento moderno dentro del cristianismo protestante, enfatiza la conversión personal, la autoridad bíblica, la evangelización y, a menudo, una interpretación conservadora de las Escrituras. Surgió prominentemente en el siglo XX a través de avivamientos, misiones y respuestas al modernismo, priorizando las experiencias de fe individuales, la pureza doctrinal y el compromiso cultural. Sin embargo, al compararla con las siete iglesias mencionadas en Apocalipsis 2-3, la iglesia evangélica se asemeja más a la iglesia de Laodicea (Apocalipsis 3:14-22). Esta comparación se basa únicamente en descripciones bíblicas, resaltando paralelismos en la condición espiritual y las advertencias.</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La iglesia de Laodicea es descrita como «tibia, ni fría ni caliente» (Apocalipsis 3:16), autosatisfecha y complaciente, afirmando: «Soy rico; he adquirido riquezas y no me falta nada» (Apocalipsis 3:17). Sin embargo, Jesús la reprende como «desdichada, miserable, pobre, ciega y desnuda», exhortándola a adquirir «oro refinado en el fuego» (la verdadera riqueza espiritual), «vestiduras blancas para vestir» (justicia) y «coro para ungir los ojos» (discernimiento). Esto refleja aspectos de los posibles escollos del evangelicalismo moderno: un enfoque en el éxito material, grandes congregaciones y un crecimiento programático que puede fomentar la tibieza espiritual, la autosuficiencia en lugar de la dependencia de Cristo y la ceguera ante las necesidades más profundas en medio de una aparente prosperidad. Al igual que Laodicea, los evangélicos pueden enfatizar la actividad externa (por ejemplo, eventos, medios de comunicación) mientras corren el riesgo de estancarse internamente, haciéndose eco del llamado de Jesús a «ser fervientes y arrepentirse» (Apocalipsis 3:19) y abrir la puerta a la comunión íntima (Apocalipsis 3:20). Esta comparación sirve como una advertencia bíblica, no como una condena, recordando a los evangélicos que presten atención al llamado del Nuevo Testamento a una fe ferviente y humilde.</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Este documento examina cómo ciertas prácticas, estructuras y énfasis evangélicos divergen del modelo de la iglesia primitiva descrito en el Nuevo Testamento. Si bien el evangelicalismo busca alinearse con las Escrituras, los desarrollos históricos y culturales han introducido elementos que contrastan con los patrones del Nuevo Testamento. El análisis está organizado temáticamente, con subpuntos para mayor claridad, y se apoya en referencias bíblicas directas.</w:t>
      </w:r>
    </w:p>
    <w:p w14:paraId="676B8DE1" w14:textId="77777777" w:rsidR="00AE5104" w:rsidRPr="00AE5104" w:rsidRDefault="00AE5104" w:rsidP="00680304">
      <w:pPr>
        <w:pStyle w:val="Heading1"/>
      </w:pPr>
      <w:r>
        <w:t>1. Liderazgo y autoridad de la iglesia: profesionalismo jerárquico frente a un liderazgo plural y ungido por el Espíritu Santo.</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Las iglesias evangélicas suelen tener una estructura jerárquica con un único pastor principal, profesionales formados en seminarios y personal remunerado, lo que crea una división entre clero y laicos donde la autoridad está centralizada.</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Contraste con el NT: El NT promueve el liderazgo compartido entre varios ancianos (supervisores) por iglesia local, seleccionados por su carácter y madurez, más que por su educación formal o títulos. Tito 1:5 ordena: «Nombrad ancianos en cada pueblo», usando el plural. Hechos 14:23 señala: «Nombraron ancianos para ellos en cada iglesia». 1 Timoteo 3:1-7 y Tito 1:6-9 enfatizan cualidades como ser irreprochable, administrar el hogar y ser hospitalario, sin mencionar credenciales académicas. Este modelo igualitario evita el dominio sobre los demás, como se advierte en 1 Pedro 5:3: «No os enseñoreéis de los que os han sido confiados, sino sed ejemplos para el rebaño».</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Mayor divergencia: Los evangélicos pueden ensalzar a pastores famosos o jerarquías denominacionales, contradiciendo la enseñanza de Jesús en Mateo 20:25-28: «Ya saben que los gobernantes de los gentiles se enseñorean de ellos... Pero entre ustedes no será así. Al contrario, el que quiera ser grande entre ustedes deberá servirles».</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Esto puede conducir a un poder sin control, como se ve en las críticas del Nuevo Testamento, como en 3 Juan 9-10, donde Diótrefes domina y expulsa a los disidentes.</w:t>
      </w:r>
    </w:p>
    <w:p w14:paraId="0C7FB4AB" w14:textId="77777777" w:rsidR="00AE5104" w:rsidRPr="00AE5104" w:rsidRDefault="00AE5104" w:rsidP="00680304">
      <w:pPr>
        <w:pStyle w:val="Heading1"/>
      </w:pPr>
      <w:r>
        <w:t>2. Reuniones de la iglesia: Servicios orientados al espectáculo frente a la participación interactiva de todos los miembros.</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El culto evangélico moderno a menudo se asemeja a un concierto o una conferencia, con un público pasivo, músicos profesionales y sermones guionizados, lo que limita la participación espontánea.</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Contraste con el Nuevo Testamento: Las reuniones eran participativas, con todos los creyentes contribuyendo para la edificación. 1 Corintios 14:26 dice: «Cuando se reúnen, cada uno tiene un himno, una enseñanza, una revelación, una lengua o una interpretación. Todo debe hacerse para la edificación de la iglesia». Colosenses 3:16 exhorta: «Que el mensaje de Cristo habite en abundancia entre ustedes, mientras se enseñan y se amonestan unos a otros con toda sabiduría, mediante salmos, himnos y cánticos espirituales».</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Otras divergencias: El Nuevo Testamento incluía diálogos y preguntas, como en Hechos 20:7, donde Pablo «habló extensamente» en formato de debate (en griego: dialegomai). Esto contrasta con la comunicación unidireccional evangélica, haciéndose eco de la reprensión de Jesús a los títulos jerárquicos en Mateo 23:8-10: «Pero ustedes no deben hacerse llamar “Rabí”, porque tienen un solo Maestro, y todos ustedes son hermanos».</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Los formatos pasivos pueden sofocar los dones espirituales, al contrario de lo que se dice en Efesios 4:11-16, donde los santos capacitados realizan la obra del ministerio para el crecimiento del cuerpo.</w:t>
      </w:r>
    </w:p>
    <w:p w14:paraId="15CC804E" w14:textId="77777777" w:rsidR="00AE5104" w:rsidRPr="00AE5104" w:rsidRDefault="00AE5104" w:rsidP="00680304">
      <w:pPr>
        <w:pStyle w:val="Heading1"/>
      </w:pPr>
      <w:r>
        <w:t>3. Salvación y discipulado: Enfoque individualista en la &amp;quot;oración del pecador&amp;quot; frente al bautismo comunitario y la vida continua.</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Los evangélicos hacen hincapié en una decisión personal momentánea o en una oración para la salvación, a menudo desvinculada de la comunidad.</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Contraste del NT: La salvación implica el bautismo inmediato y la integración en el cuerpo de Cristo. Hechos 2:38-41 vincula el arrepentimiento, el bautismo y la recepción del Espíritu Santo, con la incorporación de los nuevos creyentes a la comunidad (Hechos 2:42-47: «Estaban atentos a la enseñanza de los apóstoles, a la comunión, al partimiento del pan y a la oración… Todos los creyentes estaban juntos»). Romanos 6:3-4 presenta el bautismo como la unión con la muerte y resurrección de Cristo.</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Otras divergencias: El Nuevo Testamento enfatiza el discipulado comunitario continuo, no las experiencias aisladas. Hebreos 10:24-25 advierte contra el descuido de las reuniones, y Gálatas 6:2 ordena llevar las cargas los unos de los otros. Esto contrarresta el individualismo evangélico, que puede pasar por alto la rendición de cuentas, como se menciona en Santiago 5:16: «Confesaos vuestros pecados unos a otros y orad unos por otros».</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Reducir la salvación a una oración ignora la transformación holística del Nuevo Testamento, como en 2 Corintios 5:17: &amp;quot;Si alguno está en Cristo, nueva criatura es&amp;quot;.</w:t>
      </w:r>
    </w:p>
    <w:p w14:paraId="677EB733" w14:textId="77777777" w:rsidR="00AE5104" w:rsidRPr="00AE5104" w:rsidRDefault="00AE5104" w:rsidP="00680304">
      <w:pPr>
        <w:pStyle w:val="Heading1"/>
      </w:pPr>
      <w:r>
        <w:t>4. Dones espirituales y papel del Espíritu Santo: Cesacionismo o restricción frente a búsqueda y práctica activa.</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Muchos evangélicos limitan los dones carismáticos a la era apostólica o al uso privado, o niegan su continuidad.</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Contraste del NT: Los dones son para todos los creyentes y para la edificación continua. 1 Corintios 12:4-11 enumera diversos dones (sabiduría, conocimiento, fe, sanidad, milagros, profecía, lenguas) &amp;quot;para el bien común&amp;quot;. 1 Corintios 14:1 exhorta: &amp;quot;Sigan el camino del amor y anhelen con fervor los dones del Espíritu, especialmente el de profecía&amp;quot;, y 14:39 añade: &amp;quot;No prohíban hablar en lenguas&amp;quot;. La profecía implica específicamente la revelación inspirada por el Espíritu para fortalecer, animar y consolar (1 Corintios 14:3), distinta de la enseñanza y abierta a la expresión espontánea en reuniones (1 Corintios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Otra divergencia: El bautismo del Espíritu Santo es un empoderamiento distinto posterior a la conversión (Hechos 8:14-17; 19:1-6), lo que contradice la fusión evangélica de conversión y plenitud del Espíritu. Romanos 12:6-8 anima a usar los dones proporcionalmente, y la profecía requiere discernimiento (1 Tesalonicenses 5:19-21: «No apaguen el Espíritu. No menosprecien las profecías, sino pónganlas a prueba»).</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La supresión dificulta el funcionamiento del cuerpo, en contra del llamado del Nuevo Testamento a que todo creyente busque y ejerza dones como la profecía.</w:t>
      </w:r>
    </w:p>
    <w:p w14:paraId="0431E332" w14:textId="77777777" w:rsidR="00AE5104" w:rsidRPr="00AE5104" w:rsidRDefault="00AE5104" w:rsidP="00680304">
      <w:pPr>
        <w:pStyle w:val="Heading1"/>
      </w:pPr>
      <w:r>
        <w:t>5. Fe y Obras: Énfasis excesivo en la &amp;quot;fe sola&amp;quot; frente a una fe integrada demostrada por las obras.</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Los evangélicos, basándose en la teología de la Reforma, a menudo separan la fe de las obras, considerando estas últimas como mera evidencia.</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Contraste del NT: La fe y las obras son inseparables. Santiago 2:17-26 afirma: «La fe por sí sola, si no va acompañada de obras, está muerta... El justo es por sus obras, no por la fe solamente». Mateo 7:21 advierte: «No todo el que me dice: “Señor, Señor”, entrará en el reino de los cielos, sino el que hace la voluntad de mi Padre».</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Divergencia adicional: El juicio incluye las obras (Romanos 2:6-8: Dios &amp;quot;recompensará a cada uno según sus obras&amp;quot;; Apocalipsis 20:12-13: Juzgados &amp;quot;según sus obras&amp;quot;). Esto equilibra Efesios 2:8-10: Salvados por gracia para buenas obras.</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Minimizar las obras conlleva el riesgo de caer en el antinomianismo, contrario a Juan 14:15: &amp;quot;Si me amáis, guardad mis mandamientos&amp;quot;.</w:t>
      </w:r>
    </w:p>
    <w:p w14:paraId="154FE071" w14:textId="77777777" w:rsidR="00AE5104" w:rsidRPr="00AE5104" w:rsidRDefault="00AE5104" w:rsidP="00680304">
      <w:pPr>
        <w:pStyle w:val="Heading1"/>
      </w:pPr>
      <w:r>
        <w:t>6. Interpretación y autoridad bíblica: Infalibilidad rígida frente a revelación progresiva centrada en Cristo</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Los evangélicos suelen aplicar una postura de infalibilidad absoluta, tratando al Antiguo y al Nuevo Testamento por igual sin reconocer el cumplimiento de las Escrituras en el Nuevo Testamento.</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Contraste del NT: Jesús reinterpreta el Antiguo Testamento progresivamente. Mateo 5:17-48 cumple la ley, elevando los mandamientos (por ejemplo, «Habéis oído que se dijo... pero yo os digo»). Hebreos 7:18-19 declara que la norma anterior es «débil e inútil», e introduce una esperanza mejor.</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Otras divergencias: El Nuevo Testamento contrasta la letra con el espíritu (2 Corintios 3:6: «La letra mata, pero el Espíritu da vida»). Gálatas 3:23-25 considera la ley como una guía hasta la venida de Cristo.</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Ignorar el progreso puede llevar al legalismo, en contra de Colosenses 2:16-17: Sombras que señalan a Cristo.</w:t>
      </w:r>
    </w:p>
    <w:p w14:paraId="48E372FE" w14:textId="77777777" w:rsidR="00AE5104" w:rsidRPr="00AE5104" w:rsidRDefault="00AE5104" w:rsidP="00680304">
      <w:pPr>
        <w:pStyle w:val="Heading1"/>
      </w:pPr>
      <w:r>
        <w:t>7. Respuesta al error y la división: Cambio de iglesia o cisma frente a contienda paciente y unidad.</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Los evangélicos con frecuencia se dividen o se marchan debido a desacuerdos, formando nuevos grupos.</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Contraste del NT: Abordar los problemas internos con perseverancia. Apocalipsis 2-3 critica a las iglesias imperfectas, pero llama al arrepentimiento interno (por ejemplo, Tiatira tolerando a Jezabel, pero elogiada por su amor). Judas 3 exhorta a defender la fe, y 2 Timoteo 2:24-25 instruye sobre la corrección amable.</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Mayor divergencia: La unidad es primordial (Juan 17:20-23: «Para que sean uno»). Efesios 4:3: «Esfuércense por mantener la unidad del Espíritu».</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La fragmentación contradice Filipenses 1:27: &amp;quot;Contendiendo unánimes por la fe&amp;quot;.</w:t>
      </w:r>
    </w:p>
    <w:p w14:paraId="67321F83" w14:textId="77777777" w:rsidR="00AE5104" w:rsidRPr="00AE5104" w:rsidRDefault="00AE5104" w:rsidP="00680304">
      <w:pPr>
        <w:pStyle w:val="Heading1"/>
      </w:pPr>
      <w:r>
        <w:t>8. Misión y proclamación del Evangelio: Enfoque en la evangelización personal frente al avance integral del Reino.</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Los evangélicos dan prioridad a los mensajes de conversión espiritual y de salvación, descuidando a menudo la justicia social.</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Contraste del NT: Jesús anuncia el reino de forma integral (Marcos 1:15: «El reino de Dios se ha acercado»). Lucas 4:18-19 incluye buenas noticias para los pobres, libertad para los prisioneros y vista para los ciegos.</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Otras divergencias: Hechos 4:32-35 muestra el reparto económico, y Santiago 1:27 define la religión como el cuidado de los huérfanos y las viudas.</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Un enfoque limitado pasa por alto Mateo 25:31-46: El juicio por actos de misericordia.</w:t>
      </w:r>
    </w:p>
    <w:p w14:paraId="259D5A55" w14:textId="77777777" w:rsidR="00AE5104" w:rsidRPr="00AE5104" w:rsidRDefault="00AE5104" w:rsidP="00680304">
      <w:pPr>
        <w:pStyle w:val="Heading1"/>
      </w:pPr>
      <w:r>
        <w:t>9. Riqueza y prosperidad: Aceptación del materialismo frente a advertencias contra la riqueza</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Algunos evangélicos adoptan la teología de la prosperidad o la búsqueda de consuelo en la riqueza.</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Contraste del NT: Jesús advierte sobre los peligros de las riquezas (Mateo 19:23-24: Es difícil para los ricos entrar en el reino; 1 Timoteo 6:9-10: El amor al dinero es la raíz de todos los males).</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Otra divergencia: Hechos 2:44-45: Los creyentes vendieron sus posesiones para ayudar a los necesitados.</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La complacencia refleja la autosuficiencia de Laodicea (Apocalipsis 3:17).</w:t>
      </w:r>
    </w:p>
    <w:p w14:paraId="54EA515B" w14:textId="1B60C1D0" w:rsidR="00AE5104" w:rsidRPr="00AE5104" w:rsidRDefault="00AE5104" w:rsidP="00680304">
      <w:pPr>
        <w:pStyle w:val="Heading1"/>
      </w:pPr>
      <w:r>
        <w:t>10. Escatología del fin de los tiempos: Énfasis en el rapto pretribulacional frente a la perseverancia a través de la tribulación.</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Los evangélicos a menudo enseñan a escapar de la tribulación.</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Contraste del NT: Los creyentes soportan pruebas (Mateo 24:29-31: Reunión después de la tribulación; Apocalipsis 7:14: Santos de la gran tribulación).</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Divergencia adicional: 2 Tesalonicenses 2:1-3: No hay reunión hasta que haya apostasía y hombre de iniquidad.</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El escapismo desalienta la perseverancia (Santiago 1:12).</w:t>
      </w:r>
    </w:p>
    <w:p w14:paraId="0BB63B3B" w14:textId="6B13CBB7" w:rsidR="00AE5104" w:rsidRPr="00AE5104" w:rsidRDefault="00AE5104" w:rsidP="00680304">
      <w:pPr>
        <w:pStyle w:val="Heading1"/>
      </w:pPr>
      <w:r>
        <w:t>11. Participación política: Alianza con el poder frente a separación del reino</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Los evangélicos podrían buscar influencia política.</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Contraste del NT: El reino de Jesús &amp;quot;no es de este mundo&amp;quot; (Juan 18:36). Romanos 13:1-7 se somete a las autoridades, pero prioriza a Dios (Hechos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Otra divergencia: 2 Corintios 6:14-17: No os unáis en yugo desigual con los incrédulos.</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Implicación: El compromiso conlleva el riesgo de caer en la idolatría (advertencias de Apocalipsis 13).</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Este documento, una vez recompilado, destaca las prioridades del Nuevo Testamento en cuanto a la comunidad, la dependencia del Espíritu (incluido el don profético clarificado) y la obediencia integral, e insta a la reflexión para lograr la alineación.</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