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Análisis exhaustivo: Contradicciones entre la doctrina católica romana y el Nuevo Testamento</w:t>
      </w:r>
    </w:p>
    <w:p w14:paraId="6A1EE0C7" w14:textId="77777777" w:rsidR="001D73A0" w:rsidRPr="001D73A0" w:rsidRDefault="001D73A0" w:rsidP="0043676E">
      <w:pPr>
        <w:pStyle w:val="Subtitle"/>
      </w:pPr>
      <w:r>
        <w:t>Introducción</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Este documento ofrece un análisis exhaustivo y coherente de las contradicciones entre la doctrina católica romana —tal como se expone en textos oficiales como el Catecismo de la Iglesia Católica (CIC)— y el Nuevo Testamento (NT), utilizando textos bíblicos griegos originales para mayor precisión. Integra las ideas de los primeros Padres de la Iglesia (por ejemplo, Ignacio, Justino Mártir, Ireneo, Orígenes, Tertuliano, Crisóstomo y Agustín), revelando cómo los desarrollos católicos posteriores pueden divergir tanto de las Escrituras como del testimonio patrístico.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En las interpretaciones historicistas de Apocalipsis 2-3 (comunes en la escatología protestante), la Iglesia de Tiatira (Ap. 2:18-29) se corresponde más estrechamente con la Iglesia Católica Romana. Simboliza una era papal (aproximadamente entre los años 500 y 1500 d. C.) de compromiso doctrinal, idolatría y dominación, vinculada a la seducción de &amp;quot;Jezabel&amp;quot; hacia la idolatría y las &amp;quot;profundas artes de Satanás&amp;quot;. Los críticos asocian esto con dogmas marianos, escándalos de celibato sacerdotal, veneración de santos e imágenes, purgatorio y transustanciación, mezclando la fe con tradiciones extrabíblicas bajo la autoridad papal centralizada.</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El análisis se organiza de la siguiente manera: una tabla de contradicciones principales con los textos del Nuevo Testamento; seguida de temas consolidados que integran versículos del Nuevo Testamento, reflexiones de los Padres de la Iglesia y pensamientos reflexivos. Los católicos sostienen que la Tradición desarrolla la Escritura; los críticos priorizan la sola scriptura y la alineación patrística con el Nuevo Testamento. Para un estudio más profundo, consulte el Catecismo de la Iglesia Católica completo, Biblias interlineales o fuentes patrísticas.</w:t>
      </w:r>
    </w:p>
    <w:p w14:paraId="0946E0B8" w14:textId="0A912CB6" w:rsidR="001D73A0" w:rsidRPr="001D73A0" w:rsidRDefault="001D73A0" w:rsidP="0043676E">
      <w:pPr>
        <w:pStyle w:val="Heading1"/>
      </w:pPr>
      <w:r>
        <w:t>Contradicciones: Doctrina católica vs. Nuevo Testamento</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Esta tabla enumera las principales contradicciones, fundamentadas con referencias del Catecismo de la Iglesia Católica (CIC), versículos del Nuevo Testamento, el griego original y traducciones modernas de la NVI. Los católicos las consideran desarrollos armoniosos; los críticos ven añadidos que se oponen al texto bíblico claro.</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Doctrina católica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Resumen de la doctrina católica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Contradicción del 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Texto original griego y traducción (NVI)</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Llamar &amp;quot;padre&amp;quot; a los sacerdotes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Catecismo de la Iglesia Católica (1549-1553): Los sacerdotes como padres espirituales in persona Christi, según la tradición.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Mateo 23:9 prohíbe llamar a cualquier hombre &amp;quot;padre&amp;quot; en la tierra (hay un solo Padre en el cielo); se considera que prohíbe los títulos del clero (defensa católica: hiperbólica contra la hipocresía).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 ὑμῶν ὁ οὐράνιος. Y no llaméis padre a nadie en la tierra, porque un Padre tenéis, y él está en los cielos.</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Rezar palabras repetitivas (por ejemplo, el Rosario)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Oraciones repetitivas como meditación, arraigadas en la tradición.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Mateo 6:7 advierte contra las vanas repeticiones, como las de los paganos.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δοκοῦσιν γὰρ ὅτι ἐν τῇ πολυλογίᾳ αὐτῶν εἰσακουσθήσονται. Y cuando oréis, no hagáis balbuceos como los paganos, que creen que serán escuchados por sus muchas palabras.</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María como Mediadora/Co-Redentora e Intercesora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María como mediadora y abogada de la intercesión.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Timoteo 2:5: Un mediador, Cristo Jesús; añade mediadores a través de los santos/María.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Χριστὸς Ἰησοῦς. Porque hay un solo Dios y un solo mediador entre Dios y los hombres, Cristo Jesús hombre.</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La salvación por la fe y las obras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Catecismo de la Iglesia Católica (2017-2029): Justificación mediante la fe, el bautismo y las obras que cooperan con la gracia (cita Santiago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Efesios 2:8-9: Por gracia mediante la fe, no por obras (para que no se gloríen); excluye las obras meritorias (Santiago sobre la evidencia de la fe).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 · Θεοῦ τὸ δῶρον. οὐκ ἐξ ἔργων, ἵνα μή τις καυχήσηται. Porque por gracia sois salvos por medio de la fe; y esto no de vosotros, pues es don de Dios; no por obras, para que nadie se gloríe.</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celibato sacerdotal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Catecismo de la Iglesia Católica (1579): Impone el celibato a los sacerdotes de rito latino como disciplina que imita a Cristo.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Timoteo 3:2: Supervisores como marido de una sola mujer; permite el clero casado.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νηφάλιον, σώφρονα, κόσμιον, φιλόξενον, διδακτικόν. Ahora bien, el obispo debe ser irreprochable, fiel a su esposa, sobrio, prudente, respetable, hospitalario y apto para enseñar.</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Infalibilidad y primacía papal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Catecismo de la Iglesia Católica (889-892): El Papa como sucesor de Pedro con infalibilidad en materia de fe y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Mateo 16:18-19: Pedro, fundamental; «Petros» (piedra pequeña) vs. «petra» (lecho rocoso); interpretaciones: Pedro, confesión o Cristo (cf. 1 Cor. 10:4); sin sucesores/infalibilidad. 1 Pedro 2:5: Los creyentes como piedras vivas.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πέτρᾳ οἰκοδομήσω μου τὴν ἐκκλησίαν... δώσω σοι τὰς κλεῖδας... Y te digo que tú eres Pedro, y sobre esta roca edificaré mi iglesia... Te daré las llaves del reino de cielo...</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Purgatorio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Purificación después de la muerte para aquellos imperfectamente purificados.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Hebreos 9:27: Después la muerte, el juicio; no hay estado intermedio (cf. 2 Cor.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τοῦτο κρίσις. Así como las personas están destinadas a morir una vez y luego a enfrentar el juicio.</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Transustanciación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Presencia real a través del cambio de sustancia.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Corintios 11:24-25: Recuerdo, no literal; Hebreos 10:10-14: Sacrificio único y definitivo.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...haced esto en memoria de mí.</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Bautismo infantil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Catecismo de la Iglesia Católica (1250-1252): Los infantes por el pecado original, según los hogares.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Hechos 2:38: Arrepiéntanse y luego bautícense; Marcos 16:16: Crean primero; no se mencionan infantes explícitos.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Arrepentíos y bautícese cada uno de vosotros...</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Dogmas marianos (por ejemplo, la Inmaculada Concepción, la Asunción, la Virginidad Perpetua)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Catecismo de la Iglesia Católica (491-493, 966, 499-500): Dogmas de la tradición.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Mateo 13:55-56: Los hermanos/hermanas de Jesús implican otros hijos; Romanos 3:23: Todos pecaron; no hay presunción/impecabilidad.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¿No es éste el hijo del carpintero? ¿No es el nombre de su madre Mary, y no son sus hermanos...?</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Veneración de santos e imágenes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Veneración (no culto) de imágenes/santos.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Hechos 10:25-26: Pedro rechaza la adoración; Apocalipsis 19:10: Prohíbe la adoración de ángeles y santos; Éxodo 20:4-5 (imágenes talladas).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εἰμι. Pero Pedro le hizo levantarse. “Levántate”, dijo, “yo mismo soy sólo un hombre”.</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Temas y reflexiones consolidadas: Integración del Nuevo Testamento, los Padres de la Iglesia y reflexiones.</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Esta sección unifica temas comunes (por ejemplo, autoridad, salvación, mediación) derivados de las contradicciones del Nuevo Testamento y las reflexiones patrísticas, incorporando el griego original/NVI, citas de los Padres de la Iglesia y pensamientos reflexivos. Los Padres suelen coincidir con los énfasis del Nuevo Testamento (por ejemplo, sola scriptura, la fe sola), sin fundamentar doctrinas posteriores, lo que pone de relieve los desarrollos postapostólicos de la corriente de Tiatira. Los católicos citan un apoyo patrístico selectivo; los críticos señalan divergencias.</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Autoridad y jerarquía (incluida la infalibilidad papal, la primacía y títulos como &amp;quot;Padre&amp;quot;): el CCC eleva la infalibilidad/primacía papal y los títulos sacerdotales de &amp;quot;Padre&amp;quot;; el NT advierte contra la autoridad exaltada (Mat. 23:9: καὶ πατέρα μὴ καλέσητε... – NVI: No llamen a nadie en la tierra &amp;quot;padre&amp;quot;...). Mateo 16:18-19: Petros (piedra pequeña) vs. petra; sin sucesores/infalibilidad; 1 Pedro 2:5: Los creyentes como piedras vivas. Padres mixtos: Honran a Roma/Pedro (Ireneo enumera la sucesión, Cipriano), pero sin supremacía/infalibilidad; Crisóstomo: La roca como &amp;quot;fe de su confesión&amp;quot;; Orígenes/Agustín: Cristo como roca; los concilios corrigieron a los papas. Reflexión: El cambio del liderazgo igualitario del Nuevo Testamento al poder institucionalizado encarna la dominación tiatirana; la &amp;quot;primacía del honor&amp;quot; de los Padres cuestiona su excesiva extensión.</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Salvación y justificación (Fe sola vs. Fe + Obras meritorias): El CCC requiere obras para la justificación; NT: Gracia/fe, no obras (Ef. 2:8-9: Τῇ γὰρ χάριτί... οὐκ ἐξ ἔργων – NVI: Por gracia... no por obras...). Los Padres contradicen el CCC: Crisóstomo (Hom. Gál. 3:5): &amp;quot;La fe sola bastó para la justicia&amp;quot;; Aristides: &amp;quot;Solo por la fe&amp;quot;; Ireneo/Clemente de Roma afirman la fe sola. Pensamiento: Los Padres se hacen eco del don de la salvación de Pablo, cuestionando el sistema de méritos católico como post-apostólico; diluye la seguridad del NT, mezclando el compromiso de Tiatira.</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Intercesión, mediación y veneración (María como mediadora, santos/imágenes): CCC: María como mediadora (969); veneración de santos/imágenes (2132). NT: Cristo como único mediador (1 Tim. 2:5: Εἷς... μεσίτης... – NVI: Un solo mediador... Cristo Jesús); Pedro rechaza la adoración (Hechos 10:25-26: ὁ δὲ Πέτρος... – NVI: Yo mismo soy solo un hombre); prohíben la adoración de ángeles/santos (Ap. 19:10). Los Padres niegan la elevación mariana: Orígenes: María necesitaba redención; Basilio: Dudó; Tertuliano/Crisóstomo: Vanidoso/reprendido; no hay Inmaculada Concepción temprana. Pensamiento: Eleva más allá del acceso directo a Dios del NT/Padres; Refleja la idolatría de Jezabel en Tiatira, con imágenes talladas que se oponen a los mandamientos bíblicos.</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Sacramentos y Rituales (Transustanciación, Bautismo Infantil, Oraciones Repetitivas): CCC: Cambio de sustancia (1374); bautismo infantil (1250); Rosario repetitivo (2708). NT: Recuerdo (1 Cor. 11:24: εἰς τὴν ἐμὴν ἀνάμνησιν – NVI: Haced esto en memoria...); arrepentirse/creer primero (Hechos 2:38: Μετανοήσατε... – NVI: Arrepiéntanse y sean bautizados...); Sin repeticiones vanas (Mateo 6:7: μὴ βατταλογήσητε... – NVI: No sigan hablando sin cesar...). Los Padres simbólicos: Atenágoras, Tertulio, Orígena, Agustín y Eusebio rechazan la Eucaristía literal. Pensamiento: El Nuevo Testamento enfatiza la fe personal y el simbolismo por encima del ritual; la visión conmemorativa de los Padres, en contraposición a la escolástica medieval, resalta las formas extrabíblicas de Tiatira.</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Purgatorio y vida después de la muerte: CCC: purificación después de la muerte (1030). NT: muerte y luego juicio (Heb. 9:27: ἀπόκειται... κρίσις – NVI: destinados a morir una sola vez... enfrentar el juicio); presencia inmediata con el Señor (2 Cor. 5:8). Padres de la Iglesia: posturas mixtas/rechazo: Afrahat/Policarpo no al purgatorio; Orígenes lo considera simbólico (no punitivo); la doctrina uniforme es tardía (siglo XII). Pensamiento: carece de la finalidad de la obra de Cristo que presentan el NT/Padres de la Iglesia (Juan 19:30); las oraciones por los muertos no tienen nada que ver con el sistema de tesoros/méritos, lo que sugiere la adición de Tiatirano.</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Celibato y requisitos del clero: CCC: Celibato obligatorio (1579). NT: Supervisores casados (1 Tim. 3:2: μιᾶς γυναικὸς ἄνδρα – NVI: Fiel a su esposa). Padres: Clérigo casado normativo (siglos I-IV); Ignacio elogia la continencia (sin prohibición); Clemente de Alejandría/Jerónimo mencionan a los líderes casados; se impuso posteriormente (siglo XI). Pensamiento: Disciplina, no doctrina; la permisividad de los padres expone el legalismo tiatirano que se opone a la practicidad del NT.</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Sola Scriptura y Autoridad General: El Catecismo de la Iglesia Católica (CIC) otorga la misma importancia a la Tradición y al Magisterio. Nuevo Testamento (NT) y Padres de la Iglesia: Centrados en las Escrituras (por ejemplo, Atanasio, Ireneo, Jerónimo y Clemente de Alejandría afirman que solo las Escrituras son válidas). Pensamiento: El biblocentrismo de los Padres de la Iglesia cuestiona las fuentes duales católicas; resume los errores tolerados por Tiatira, que divergen del testimonio del NT y de la Patrística.</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Este análisis unificado revela que las doctrinas católicas son desarrollos posteriores, a menudo en contradicción con la sencillez del Nuevo Testamento y los énfasis patrísticos primitivos, lo que refleja la mezcla de ideas de Tiatira. Se recomienda un análisis equilibrado de las defensas y las críticas.</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