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Eine umfassende Kritik des modernen Judentums aus neutestamentlicher christlicher Perspektive</w:t>
      </w:r>
    </w:p>
    <w:p w14:paraId="72435042" w14:textId="77777777" w:rsidR="007A5B46" w:rsidRPr="007A5B46" w:rsidRDefault="007A5B46" w:rsidP="007A5B46">
      <w:r>
        <w:t>Dieses Dokument fasst die zentralen Widersprüche zwischen dem modernen (rabbinischen) Judentum – wie es in der Mischna, dem Talmud und späteren rabbinischen Schriften dargestellt wird – und dem neutestamentlichen Christentum (wie in der Bibel) zusammen und synthetisiert sie. Es beleuchtet zudem Abweichungen, Überschreitungen und scheinbare Widersprüche innerhalb der rabbinischen Traditionen. Das moderne Judentum bezeichnet das nach dem Zweiten Tempel entstandene rabbinische Judentum (nach 70 n. Chr.), das die mündliche Tora (kodifiziert in der Mischna um 200 n. Chr. und erweitert in der Gemara/im Talmud um 500 n. Chr.) als göttlich und neben der schriftlichen Tora verbindlich anerkennt.</w:t>
      </w:r>
    </w:p>
    <w:p w14:paraId="1B6AE652" w14:textId="77777777" w:rsidR="007A5B46" w:rsidRPr="007A5B46" w:rsidRDefault="007A5B46" w:rsidP="007A5B46">
      <w:r>
        <w:t>Die Analyse stützt sich ausschließlich auf die genannten Schriften und Texte und hebt unüberbrückbare Unterschiede und mögliche Mängel hervor. Während jüdische Gelehrte Interpretationen zur Lösung dieser Probleme anbieten (z. B. durch Pilpul, Kontextualisierung oder die dialektische Natur der talmudischen Debatte), nimmt diese Kritik eine neutestamentliche Perspektive ein und betrachtet rabbinische Entwicklungen als menschliche Traditionen, die Gottes Wort aufheben, den erfüllten Messias Jesus ablehnen und Gnade durch Legalismus ersetzen.</w:t>
      </w:r>
    </w:p>
    <w:p w14:paraId="6F129275" w14:textId="77777777" w:rsidR="007A5B46" w:rsidRPr="007A5B46" w:rsidRDefault="007A5B46" w:rsidP="004F5A6D">
      <w:pPr>
        <w:pStyle w:val="Heading1"/>
      </w:pPr>
      <w:r>
        <w:t>1. Zentrale Widersprüche zwischen dem rabbinischen Judentum und dem Neuen Testament</w:t>
      </w:r>
    </w:p>
    <w:p w14:paraId="368974F6" w14:textId="77777777" w:rsidR="007A5B46" w:rsidRPr="007A5B46" w:rsidRDefault="007A5B46" w:rsidP="007A5B46">
      <w:r>
        <w:t>Diese Punkte offenbaren grundlegende Unterschiede, in denen rabbinische Lehren neutestamentlichen Doktrinen direkt widersprechen oder sie neu interpretieren und Jesus und seine Anhänger oft als Ketzer oder Minim (Sektierer) darstellen. Aus christlicher Sicht erscheint das rabbinische Judentum als eine nachchristliche Abkehr, die die biblische Offenbarung, die Jesus als den göttlichen Messias und die endgültige Erlösung in den Mittelpunkt stellt, verändert.</w:t>
      </w:r>
    </w:p>
    <w:p w14:paraId="5258CEEB" w14:textId="77777777" w:rsidR="007A5B46" w:rsidRPr="007A5B46" w:rsidRDefault="007A5B46" w:rsidP="004F5A6D">
      <w:pPr>
        <w:pStyle w:val="Heading2"/>
      </w:pPr>
      <w:r>
        <w:t>Die Identität und Rolle des Messias</w:t>
      </w:r>
    </w:p>
    <w:p w14:paraId="75B6DD83" w14:textId="77777777" w:rsidR="00720CE4" w:rsidRDefault="007A5B46" w:rsidP="007A5B46">
      <w:pPr>
        <w:numPr>
          <w:ilvl w:val="0"/>
          <w:numId w:val="12"/>
        </w:numPr>
      </w:pPr>
      <w:r>
        <w:t>Neues Testament (Bibel): „Er [Jesus] fragte sie: ‚Wer sagt ihr, dass ich bin?‘ Simon Petrus antwortete: ‚Du bist der Christus, der Sohn des lebendigen Gottes.‘“ (Matthäus 16,15-16)</w:t>
      </w:r>
    </w:p>
    <w:p w14:paraId="3406E723" w14:textId="444066DC" w:rsidR="007A5B46" w:rsidRPr="007A5B46" w:rsidRDefault="007A5B46" w:rsidP="007A5B46">
      <w:pPr>
        <w:numPr>
          <w:ilvl w:val="0"/>
          <w:numId w:val="12"/>
        </w:numPr>
      </w:pPr>
      <w:r>
        <w:t>Jesus erfüllte die Prophezeiungen zunächst als leidender Knecht (Jesaja 53), der starb und auferstand, und wird zukünftig als König wiederkommen (Offenbarung 19,11–16). „Dieser Jesus ist der Stein, den ihr, die Bauleute, verworfen habt, der aber zum Eckstein geworden ist.“ (Apostelgeschichte 4,11, Zitat aus Psalm 118,22)</w:t>
      </w:r>
    </w:p>
    <w:p w14:paraId="07DDF46C" w14:textId="77777777" w:rsidR="007A5B46" w:rsidRPr="007A5B46" w:rsidRDefault="007A5B46" w:rsidP="007A5B46">
      <w:pPr>
        <w:numPr>
          <w:ilvl w:val="0"/>
          <w:numId w:val="12"/>
        </w:numPr>
      </w:pPr>
      <w:r>
        <w:t>Rabbinisches Judentum (Talmud/Mischna): Der Messias muss in einem einzigen Kommen den Tempel wiederaufbauen, alle Exilanten sammeln, Weltfrieden stiften und die Einhaltung der Tora weltweit durchsetzen (Maimonides&amp;#39; 13 Prinzipien, abgeleitet von Sanhedrin 99a). Da Jesus nichts davon sichtbar tat, kann er nicht der Messias sein. Sanhedrin 98a beschreibt zwei mögliche Messiasse: Maschiach ben David (König) oder ben Josef (der litt und dann getötet wurde), doch die Zeit bleibt eine Zeit des Leids, bis der Triumphierende kommt. Sanhedrin 43a verurteilt „Jeschua“ wegen Zauberei und Verführung Israels in die Irre.</w:t>
      </w:r>
    </w:p>
    <w:p w14:paraId="68F68A61" w14:textId="77777777" w:rsidR="007A5B46" w:rsidRPr="007A5B46" w:rsidRDefault="007A5B46" w:rsidP="007A5B46">
      <w:pPr>
        <w:numPr>
          <w:ilvl w:val="0"/>
          <w:numId w:val="12"/>
        </w:numPr>
      </w:pPr>
      <w:r>
        <w:t>Widerspruch: Das Neue Testament verkündet Jesus als den erfüllten Messias, der durch Leiden Sühne geleistet hat (erstes Kommen) und wiederkommen wird, um zu herrschen; das rabbinische Judentum lehnt dieses Modell der „zwei Kommen“ ab, erwartet einen rein menschlichen politischen Erlöser und verflucht „Yeshu“ als falschen Propheten.</w:t>
      </w:r>
    </w:p>
    <w:p w14:paraId="55279F73" w14:textId="77777777" w:rsidR="007A5B46" w:rsidRPr="007A5B46" w:rsidRDefault="007A5B46" w:rsidP="004F5A6D">
      <w:pPr>
        <w:pStyle w:val="Heading2"/>
      </w:pPr>
      <w:r>
        <w:t>Die Göttlichkeit und Sohnschaft des Messias</w:t>
      </w:r>
    </w:p>
    <w:p w14:paraId="6C1CF46A" w14:textId="77777777" w:rsidR="007A5B46" w:rsidRPr="007A5B46" w:rsidRDefault="007A5B46" w:rsidP="007A5B46">
      <w:pPr>
        <w:numPr>
          <w:ilvl w:val="0"/>
          <w:numId w:val="13"/>
        </w:numPr>
      </w:pPr>
      <w:r>
        <w:t>Neues Testament (Bibel): „Im Anfang war das Wort, und das Wort war bei Gott, und das Wort war Gott… Und das Wort wurde Fleisch.“ (Johannes 1,1.14) „Thomas antwortete ihm: ‚Mein Herr und mein Gott!‘“ (Johannes 20,28) Jesus nahm die Anbetung als Mensch gewordener Gott an.</w:t>
      </w:r>
    </w:p>
    <w:p w14:paraId="2DD96718" w14:textId="77777777" w:rsidR="007A5B46" w:rsidRPr="007A5B46" w:rsidRDefault="007A5B46" w:rsidP="007A5B46">
      <w:pPr>
        <w:numPr>
          <w:ilvl w:val="0"/>
          <w:numId w:val="13"/>
        </w:numPr>
      </w:pPr>
      <w:r>
        <w:t>Rabbinisches Judentum: Strenger Monotheismus verbietet jegliche Inkarnation oder göttliche Sohnschaft. Das Schma Jisrael (Deuteronomium 6,4) wird so interpretiert, dass es jede Pluralität ausschließt. Jede Behauptung, ein Mensch sei Gott, gilt als Götzendienst (avoda zarah). Talmudische Passagen verspotten die Jungfrauengeburt (Schabbat 104b: Jeschua als Sohn einer Ehebrecherin) und verfluchen Christen als Götzendiener (ovdei avodah zarah).</w:t>
      </w:r>
    </w:p>
    <w:p w14:paraId="0854BC71" w14:textId="77777777" w:rsidR="007A5B46" w:rsidRPr="007A5B46" w:rsidRDefault="007A5B46" w:rsidP="007A5B46">
      <w:pPr>
        <w:numPr>
          <w:ilvl w:val="0"/>
          <w:numId w:val="13"/>
        </w:numPr>
      </w:pPr>
      <w:r>
        <w:t>Widerspruch: Das Neue Testament bekräftigt die Göttlichkeit des Messias (vorhergesagt in Jesaja 9,6 „Mächtiger Gott“), während das rabbinische Judentum dies als Blasphemie verurteilt und sogar rückwirkend die Todesstrafe für solche Behauptungen vorsieht (Sanhedrin 43a).</w:t>
      </w:r>
    </w:p>
    <w:p w14:paraId="35CE01C9" w14:textId="77777777" w:rsidR="007A5B46" w:rsidRPr="007A5B46" w:rsidRDefault="007A5B46" w:rsidP="004F5A6D">
      <w:pPr>
        <w:pStyle w:val="Heading2"/>
      </w:pPr>
      <w:r>
        <w:t>Kreuzigung, Auferstehung und Sühne</w:t>
      </w:r>
    </w:p>
    <w:p w14:paraId="3B27417B" w14:textId="77777777" w:rsidR="007A5B46" w:rsidRPr="007A5B46" w:rsidRDefault="007A5B46" w:rsidP="007A5B46">
      <w:pPr>
        <w:numPr>
          <w:ilvl w:val="0"/>
          <w:numId w:val="14"/>
        </w:numPr>
      </w:pPr>
      <w:r>
        <w:t>Neues Testament (Bibel): „Christus ist für unsere Sünden gestorben, wie es in der Schrift steht… Er wurde begraben und… ist am dritten Tage auferstanden.“ (1. Korinther 15,3-4) „Ohne Blutvergießen gibt es keine Vergebung.“ (Hebräer 9,22) Jesus ist das endgültige Opfer: „Er ist ein für alle Mal erschienen… um durch sein Opfer die Sünde hinwegzunehmen.“ (Hebräer 9,26)</w:t>
      </w:r>
    </w:p>
    <w:p w14:paraId="6C07CDC5" w14:textId="77777777" w:rsidR="007A5B46" w:rsidRPr="007A5B46" w:rsidRDefault="007A5B46" w:rsidP="007A5B46">
      <w:pPr>
        <w:numPr>
          <w:ilvl w:val="0"/>
          <w:numId w:val="14"/>
        </w:numPr>
      </w:pPr>
      <w:r>
        <w:t>Das rabbinische Judentum lehnt die Kreuzigung Jesu als Sühne- oder Messiashandlung ab. Der Talmud (Sanhedrin 43a) behauptet, Jesus sei am Vorabend von Pessach wegen Zauberei gesteinigt und gehängt worden, ohne dass es zu einer Auferstehung gekommen sei. Die Sühne nach dem Tempelbau erfolgt allein durch Reue, Gebet und Wohltätigkeit (Joma 86b: „Reue sühnt alle Übertretungen“; Berakhot 26b: Gebete ersetzen Opfer, mit Verweis auf Hosea 14,3: „die Stiere unserer Lippen“).</w:t>
      </w:r>
    </w:p>
    <w:p w14:paraId="026DE05A" w14:textId="77777777" w:rsidR="007A5B46" w:rsidRPr="007A5B46" w:rsidRDefault="007A5B46" w:rsidP="007A5B46">
      <w:pPr>
        <w:numPr>
          <w:ilvl w:val="0"/>
          <w:numId w:val="14"/>
        </w:numPr>
      </w:pPr>
      <w:r>
        <w:t>Widerspruch: Das Neue Testament erklärt Jesu Blut zur ewigen Sühne, wodurch die Notwendigkeit von Tempelriten entfällt; das rabbinische Judentum lehnt seinen Tod/seine Auferstehung ab und behauptet, Sühne ohne Blut zu erlangen, wodurch Christi Opfer „unnötig“ wird.</w:t>
      </w:r>
    </w:p>
    <w:p w14:paraId="4C4491D2" w14:textId="77777777" w:rsidR="007A5B46" w:rsidRPr="007A5B46" w:rsidRDefault="007A5B46" w:rsidP="004F5A6D">
      <w:pPr>
        <w:pStyle w:val="Heading2"/>
      </w:pPr>
      <w:r>
        <w:t>Erlösung: Gnade vs. Verdienst durch Werke</w:t>
      </w:r>
    </w:p>
    <w:p w14:paraId="7D9AF6CF" w14:textId="77777777" w:rsidR="007A5B46" w:rsidRPr="007A5B46" w:rsidRDefault="007A5B46" w:rsidP="007A5B46">
      <w:pPr>
        <w:numPr>
          <w:ilvl w:val="0"/>
          <w:numId w:val="15"/>
        </w:numPr>
      </w:pPr>
      <w:r>
        <w:t>Neues Testament (Bibel): „Denn aus Gnade seid ihr durch den Glauben gerettet worden … nicht aus Werken, damit sich niemand rühme.“ (Epheser 2,8-9) „Abraham glaubte Gott, und das wurde ihm als Gerechtigkeit angerechnet.“ (Römer 4,3, Zitat aus Genesis 15,6)</w:t>
      </w:r>
    </w:p>
    <w:p w14:paraId="3CFB6C05" w14:textId="77777777" w:rsidR="007A5B46" w:rsidRPr="007A5B46" w:rsidRDefault="007A5B46" w:rsidP="007A5B46">
      <w:pPr>
        <w:numPr>
          <w:ilvl w:val="0"/>
          <w:numId w:val="15"/>
        </w:numPr>
      </w:pPr>
      <w:r>
        <w:t>Rabbinisches Judentum: Das Heil bzw. der Anteil am Jenseits hängt von Verdiensten durch die Einhaltung der Gebote (Mitzwot), Reue und das Überwiegen guter Taten gegenüber schlechten ab (Mischna Sanhedrin 10:1: „Ganz Israel hat Anteil am Jenseits“, außer bestimmten Sündern). Die Waage der Gerechtigkeit am Tag des Gerichts (Kidduschin 39b; Rosch Haschana 16b-17a).</w:t>
      </w:r>
    </w:p>
    <w:p w14:paraId="146BC95F" w14:textId="77777777" w:rsidR="007A5B46" w:rsidRPr="007A5B46" w:rsidRDefault="007A5B46" w:rsidP="007A5B46">
      <w:pPr>
        <w:numPr>
          <w:ilvl w:val="0"/>
          <w:numId w:val="15"/>
        </w:numPr>
      </w:pPr>
      <w:r>
        <w:t>Widerspruch: Das Neue Testament lehrt die Erlösung durch den Glauben an das vollbrachte Werk Christi; das rabbinische Judentum betont die menschliche Anstrengung und die Einhaltung der Tora, wodurch die Gnade faktisch zunichte gemacht wird.</w:t>
      </w:r>
    </w:p>
    <w:p w14:paraId="0618F4EB" w14:textId="77777777" w:rsidR="007A5B46" w:rsidRPr="007A5B46" w:rsidRDefault="007A5B46" w:rsidP="004F5A6D">
      <w:pPr>
        <w:pStyle w:val="Heading2"/>
      </w:pPr>
      <w:r>
        <w:t>Die Autorität der mündlichen Überlieferung und der rabbinischen Tradition</w:t>
      </w:r>
    </w:p>
    <w:p w14:paraId="06787FB7" w14:textId="77777777" w:rsidR="007A5B46" w:rsidRPr="007A5B46" w:rsidRDefault="007A5B46" w:rsidP="007A5B46">
      <w:pPr>
        <w:numPr>
          <w:ilvl w:val="0"/>
          <w:numId w:val="16"/>
        </w:numPr>
      </w:pPr>
      <w:r>
        <w:t>Neues Testament (Bibel): Jesus verurteilte Traditionen, die der Heiligen Schrift widersprechen: „Ihr setzt Gottes Wort durch eure Überlieferung außer Kraft, die ihr weitergegeben habt.“ (Markus 7,13) „Weh euch, Schriftgelehrte und Pharisäer! … Ihr habt das Wichtigste im Gesetz vernachlässigt: Gerechtigkeit, Barmherzigkeit und Treue.“ (Matthäus 23,23)</w:t>
      </w:r>
    </w:p>
    <w:p w14:paraId="57C846A0" w14:textId="77777777" w:rsidR="007A5B46" w:rsidRPr="007A5B46" w:rsidRDefault="007A5B46" w:rsidP="007A5B46">
      <w:pPr>
        <w:numPr>
          <w:ilvl w:val="0"/>
          <w:numId w:val="16"/>
        </w:numPr>
      </w:pPr>
      <w:r>
        <w:t>Rabbinisches Judentum: Die mündliche Tora ist göttlich, wurde Mose am Sinai zusammen mit der schriftlichen Tora offenbart und ist für immer bindend (Mischna Pirkei Avot 1:1: „Mose empfing die Tora vom Sinai und überlieferte sie Josua… den Männern der Großen Versammlung“). Rabbinische Entscheidungen können die Tora sogar außer Kraft setzen (Bava Metzia 59b: Bat Kol durch Mehrheitsbeschluss abgelehnt; Gott lächelt: „Meine Söhne haben mich besiegt“).</w:t>
      </w:r>
    </w:p>
    <w:p w14:paraId="394A5C57" w14:textId="77777777" w:rsidR="007A5B46" w:rsidRPr="007A5B46" w:rsidRDefault="007A5B46" w:rsidP="007A5B46">
      <w:pPr>
        <w:numPr>
          <w:ilvl w:val="0"/>
          <w:numId w:val="16"/>
        </w:numPr>
      </w:pPr>
      <w:r>
        <w:t>Widerspruch: Das Neue Testament entlarvt menschliche Traditionen als lästige Zusätze; das rabbinische Judentum erhebt sie in den Rang einer Göttin und verstößt damit direkt gegen Deuteronomium 4,2 („Du sollst nichts hinzufügen zu dem Wort, das ich dir gebiete“).</w:t>
      </w:r>
    </w:p>
    <w:p w14:paraId="74C544E0" w14:textId="77777777" w:rsidR="007A5B46" w:rsidRPr="007A5B46" w:rsidRDefault="007A5B46" w:rsidP="004F5A6D">
      <w:pPr>
        <w:pStyle w:val="Heading1"/>
      </w:pPr>
      <w:r>
        <w:t>2. Abweichungen, Überschreitungen und scheinbare Widersprüche innerhalb rabbinischer Traditionen</w:t>
      </w:r>
    </w:p>
    <w:p w14:paraId="4EF04C52" w14:textId="77777777" w:rsidR="007A5B46" w:rsidRPr="007A5B46" w:rsidRDefault="007A5B46" w:rsidP="007A5B46">
      <w:r>
        <w:t>Diese Stellen verdeutlichen Bereiche, in denen rabbinische Texte scheinbar der Schriftlichen Tora widersprechen, menschliche Autorität über Gott stellen oder ungelöste Spannungen enthalten. Rabbinische Gelehrte lösen diese durch Dialektik oder mit der Begründung, dass „beides Worte des lebendigen Gottes“ seien, doch aus biblischer Sicht offenbaren sie menschliche Erfindungen.</w:t>
      </w:r>
    </w:p>
    <w:p w14:paraId="73ACC4DF" w14:textId="77777777" w:rsidR="007A5B46" w:rsidRPr="007A5B46" w:rsidRDefault="007A5B46" w:rsidP="004F5A6D">
      <w:pPr>
        <w:pStyle w:val="Heading2"/>
      </w:pPr>
      <w:r>
        <w:t>Erhebung der rabbinischen Autorität über Gott und die Tora</w:t>
      </w:r>
    </w:p>
    <w:p w14:paraId="46098C1B" w14:textId="77777777" w:rsidR="007A5B46" w:rsidRPr="007A5B46" w:rsidRDefault="007A5B46" w:rsidP="007A5B46">
      <w:pPr>
        <w:numPr>
          <w:ilvl w:val="0"/>
          <w:numId w:val="17"/>
        </w:numPr>
      </w:pPr>
      <w:r>
        <w:t>Tora: „Du sollst nichts hinzufügen zu dem Wort, das ich dir gebiete, noch etwas davon wegnehmen.“ (5. Mose 4,2) „Zur Lehre und zum Zeugnis! Wenn sie nicht nach diesem Wort reden, haben sie kein Licht.“ (Jesaja 8,20)</w:t>
      </w:r>
    </w:p>
    <w:p w14:paraId="7750D3A1" w14:textId="77777777" w:rsidR="007A5B46" w:rsidRPr="007A5B46" w:rsidRDefault="007A5B46" w:rsidP="007A5B46">
      <w:pPr>
        <w:numPr>
          <w:ilvl w:val="0"/>
          <w:numId w:val="17"/>
        </w:numPr>
      </w:pPr>
      <w:r>
        <w:t>Talmud: Bava Metzia 59b berichtet von den Wundern des Rabbi Eliezer (ein entwurzelter Johannisbrotbaum, sich biegende Mauern), die von einer himmlischen Stimme bestätigt wurden, doch Rabbi Joshua erklärt: „Es ist nicht im Himmel“ (Deuteronomium 30,12), die Mehrheit entscheidet, und Gott lacht: „Meine Kinder haben mich besiegt.“</w:t>
      </w:r>
    </w:p>
    <w:p w14:paraId="72D3AFF0" w14:textId="77777777" w:rsidR="007A5B46" w:rsidRPr="007A5B46" w:rsidRDefault="007A5B46" w:rsidP="007A5B46">
      <w:pPr>
        <w:numPr>
          <w:ilvl w:val="0"/>
          <w:numId w:val="17"/>
        </w:numPr>
      </w:pPr>
      <w:r>
        <w:t>Abweichung: Rabbiner setzen sich über göttliche Zeichen und die Tora selbst hinweg und beanspruchen eine Autorität, der sich Gott unterordnet – aus biblischer Sicht gotteslästerlich.</w:t>
      </w:r>
    </w:p>
    <w:p w14:paraId="3E116C1F" w14:textId="77777777" w:rsidR="007A5B46" w:rsidRPr="007A5B46" w:rsidRDefault="007A5B46" w:rsidP="004F5A6D">
      <w:pPr>
        <w:pStyle w:val="Heading2"/>
      </w:pPr>
      <w:r>
        <w:t>Geldentschädigung vs. tatsächliche Vergeltung</w:t>
      </w:r>
    </w:p>
    <w:p w14:paraId="3D6DA453" w14:textId="77777777" w:rsidR="007A5B46" w:rsidRPr="007A5B46" w:rsidRDefault="007A5B46" w:rsidP="007A5B46">
      <w:pPr>
        <w:numPr>
          <w:ilvl w:val="0"/>
          <w:numId w:val="18"/>
        </w:numPr>
      </w:pPr>
      <w:r>
        <w:t>Tora: „Auge um Auge, Zahn um Zahn.“ (Exodus 21,24; Levitikus 24,20; Deuteronomium 19,21)</w:t>
      </w:r>
    </w:p>
    <w:p w14:paraId="3245CD6F" w14:textId="77777777" w:rsidR="007A5B46" w:rsidRPr="007A5B46" w:rsidRDefault="007A5B46" w:rsidP="007A5B46">
      <w:pPr>
        <w:numPr>
          <w:ilvl w:val="0"/>
          <w:numId w:val="18"/>
        </w:numPr>
      </w:pPr>
      <w:r>
        <w:t>Talmud: Wird ausschließlich als Geldzahlung interpretiert (Bava Kamma 83b-84a), niemals als wörtliche physische Vergeltung.</w:t>
      </w:r>
    </w:p>
    <w:p w14:paraId="3AE6E787" w14:textId="77777777" w:rsidR="007A5B46" w:rsidRPr="007A5B46" w:rsidRDefault="007A5B46" w:rsidP="007A5B46">
      <w:pPr>
        <w:numPr>
          <w:ilvl w:val="0"/>
          <w:numId w:val="18"/>
        </w:numPr>
      </w:pPr>
      <w:r>
        <w:t>Abweichung: Verwässert direkt den klaren Wortlaut der Tora, was von den Karaiten und Christen als Aufhebung der Heiligen Schrift angeprangert wird.</w:t>
      </w:r>
    </w:p>
    <w:p w14:paraId="474CF578" w14:textId="77777777" w:rsidR="007A5B46" w:rsidRPr="007A5B46" w:rsidRDefault="007A5B46" w:rsidP="004F5A6D">
      <w:pPr>
        <w:pStyle w:val="Heading2"/>
      </w:pPr>
      <w:r>
        <w:t>Sühne ohne Blut nach dem Tempel</w:t>
      </w:r>
    </w:p>
    <w:p w14:paraId="6E71C4BF" w14:textId="77777777" w:rsidR="007A5B46" w:rsidRPr="007A5B46" w:rsidRDefault="007A5B46" w:rsidP="007A5B46">
      <w:pPr>
        <w:numPr>
          <w:ilvl w:val="0"/>
          <w:numId w:val="19"/>
        </w:numPr>
      </w:pPr>
      <w:r>
        <w:t>Tora: „Denn das Leben des Fleisches ist im Blut… das Blut ist es, das die Sühne bewirkt.“ (Levitikus 17,11)</w:t>
      </w:r>
    </w:p>
    <w:p w14:paraId="1D95D085" w14:textId="77777777" w:rsidR="007A5B46" w:rsidRPr="007A5B46" w:rsidRDefault="007A5B46" w:rsidP="007A5B46">
      <w:pPr>
        <w:numPr>
          <w:ilvl w:val="0"/>
          <w:numId w:val="19"/>
        </w:numPr>
      </w:pPr>
      <w:r>
        <w:t>Talmud: Nachtempelzeitlich gilt: „Reue sühnt“ (Joma 86b); der Tod der Gerechten sühnt (Moed Katan 28a); Nächstenliebe und Leiden sühnen.</w:t>
      </w:r>
    </w:p>
    <w:p w14:paraId="176D3EFB" w14:textId="77777777" w:rsidR="007A5B46" w:rsidRPr="007A5B46" w:rsidRDefault="007A5B46" w:rsidP="007A5B46">
      <w:pPr>
        <w:numPr>
          <w:ilvl w:val="0"/>
          <w:numId w:val="19"/>
        </w:numPr>
      </w:pPr>
      <w:r>
        <w:t>Abweichung: Sie steht im Widerspruch zur Betonung des Blutes in der Tora, die im Neuen Testament in Christus ihre Erfüllung findet.</w:t>
      </w:r>
    </w:p>
    <w:p w14:paraId="5515F3A8" w14:textId="77777777" w:rsidR="007A5B46" w:rsidRPr="007A5B46" w:rsidRDefault="007A5B46" w:rsidP="004F5A6D">
      <w:pPr>
        <w:pStyle w:val="Heading2"/>
      </w:pPr>
      <w:r>
        <w:t>Talmudische Behandlung von Yeshu (Jesus)</w:t>
      </w:r>
    </w:p>
    <w:p w14:paraId="46315104" w14:textId="77777777" w:rsidR="007A5B46" w:rsidRPr="007A5B46" w:rsidRDefault="007A5B46" w:rsidP="007A5B46">
      <w:pPr>
        <w:numPr>
          <w:ilvl w:val="0"/>
          <w:numId w:val="20"/>
        </w:numPr>
      </w:pPr>
      <w:r>
        <w:t>Erkennt an, dass der historische Jesus Wunder vollbrachte, schreibt diese aber der Zauberei zu (Sanhedrin 43a; 107b), behauptet, er sei hingerichtet worden, weil er Israel in die Irre geführt habe, und schildert die Bestrafung in kochenden Exkrementen (Gittin 57a).</w:t>
      </w:r>
    </w:p>
    <w:p w14:paraId="6CFDF040" w14:textId="77777777" w:rsidR="007A5B46" w:rsidRPr="007A5B46" w:rsidRDefault="007A5B46" w:rsidP="007A5B46">
      <w:pPr>
        <w:numPr>
          <w:ilvl w:val="0"/>
          <w:numId w:val="20"/>
        </w:numPr>
      </w:pPr>
      <w:r>
        <w:t>Abweichung: Erkennt implizit die Existenz Jesu und seiner Zeichen an, lehnt aber den göttlichen Ursprung ab und widerspricht damit seinen eigenen Kriterien für wahre Propheten (Deuteronomium 13, 18).</w:t>
      </w:r>
    </w:p>
    <w:p w14:paraId="64F6B35F" w14:textId="77777777" w:rsidR="007A5B46" w:rsidRPr="007A5B46" w:rsidRDefault="007A5B46" w:rsidP="004F5A6D">
      <w:pPr>
        <w:pStyle w:val="Heading2"/>
      </w:pPr>
      <w:r>
        <w:t>Ungelöste Debatten und Widersprüche</w:t>
      </w:r>
    </w:p>
    <w:p w14:paraId="674C218B" w14:textId="77777777" w:rsidR="007A5B46" w:rsidRPr="007A5B46" w:rsidRDefault="007A5B46" w:rsidP="007A5B46">
      <w:pPr>
        <w:numPr>
          <w:ilvl w:val="0"/>
          <w:numId w:val="21"/>
        </w:numPr>
      </w:pPr>
      <w:r>
        <w:t>Die Schulen Hillels und Schammais sind sich in Hunderten von Gesetzen uneinig, die beide als „Worte des lebendigen Gottes“ bezeichnet werden, doch eine setzt sich durch (Eruvin 13b) – wie kann sich göttliche Wahrheit widersprechen?</w:t>
      </w:r>
    </w:p>
    <w:p w14:paraId="6EAFD01F" w14:textId="77777777" w:rsidR="007A5B46" w:rsidRPr="007A5B46" w:rsidRDefault="007A5B46" w:rsidP="007A5B46">
      <w:pPr>
        <w:numPr>
          <w:ilvl w:val="0"/>
          <w:numId w:val="21"/>
        </w:numPr>
      </w:pPr>
      <w:r>
        <w:t>Zeitpunkt des Messias: Einige sagen, er sei festgelegt, andere sagen, er hänge vom Verdienst ab (Sanhedrin 97b-98a).</w:t>
      </w:r>
    </w:p>
    <w:p w14:paraId="69D0346A" w14:textId="77777777" w:rsidR="007A5B46" w:rsidRPr="007A5B46" w:rsidRDefault="007A5B46" w:rsidP="007A5B46">
      <w:pPr>
        <w:numPr>
          <w:ilvl w:val="0"/>
          <w:numId w:val="21"/>
        </w:numPr>
      </w:pPr>
      <w:r>
        <w:t>Diese Spannungen deuten eher auf menschliche Spekulationen als auf göttliche Klarheit hin.</w:t>
      </w:r>
    </w:p>
    <w:p w14:paraId="7377A9C9" w14:textId="77777777" w:rsidR="007A5B46" w:rsidRPr="007A5B46" w:rsidRDefault="007A5B46" w:rsidP="004F5A6D">
      <w:pPr>
        <w:pStyle w:val="Heading2"/>
      </w:pPr>
      <w:r>
        <w:t>Weitere Beispiele: Spezielle rabbinische Takkanot, die schriftliche Tora-Gebote außer Kraft setzen.</w:t>
      </w:r>
    </w:p>
    <w:p w14:paraId="50B977B5" w14:textId="77777777" w:rsidR="007A5B46" w:rsidRPr="007A5B46" w:rsidRDefault="007A5B46" w:rsidP="007A5B46">
      <w:r>
        <w:t>Diese rabbinischen Erlasse (Takkanot) umgehen oder heben aus praktischen oder wirtschaftlichen Gründen ausdrücklich klare Tora-Gebote auf:</w:t>
      </w:r>
    </w:p>
    <w:p w14:paraId="1AD9CB43" w14:textId="77777777" w:rsidR="00720CE4" w:rsidRDefault="007A5B46" w:rsidP="007A5B46">
      <w:pPr>
        <w:numPr>
          <w:ilvl w:val="0"/>
          <w:numId w:val="22"/>
        </w:numPr>
      </w:pPr>
      <w:r>
        <w:t>Sabbatical-Jahr-Schuldenbefreiung</w:t>
      </w:r>
    </w:p>
    <w:p w14:paraId="29AF34D4" w14:textId="77777777" w:rsidR="00720CE4" w:rsidRDefault="007A5B46" w:rsidP="004F5A6D">
      <w:pPr>
        <w:numPr>
          <w:ilvl w:val="1"/>
          <w:numId w:val="22"/>
        </w:numPr>
      </w:pPr>
      <w:r>
        <w:t>Tora: „Am Ende jedes siebten Jahres sollt ihr einen Erlass gewähren… jeder Gläubiger soll das erlassen, was er geliehen hat.“ (Deuteronomium 15,1-3)</w:t>
      </w:r>
    </w:p>
    <w:p w14:paraId="763245F9" w14:textId="30578C54" w:rsidR="007A5B46" w:rsidRPr="007A5B46" w:rsidRDefault="007A5B46" w:rsidP="004F5A6D">
      <w:pPr>
        <w:numPr>
          <w:ilvl w:val="1"/>
          <w:numId w:val="22"/>
        </w:numPr>
      </w:pPr>
      <w:r>
        <w:t>Rabbinisch: Hillels Prosbul überträgt Schulden an Gericht und ermöglicht so deren Eintreibung (Mishnah Sheviit 10:3; Gittin 36a).</w:t>
      </w:r>
    </w:p>
    <w:p w14:paraId="785DCDA7" w14:textId="77777777" w:rsidR="00720CE4" w:rsidRDefault="007A5B46" w:rsidP="007A5B46">
      <w:pPr>
        <w:numPr>
          <w:ilvl w:val="0"/>
          <w:numId w:val="22"/>
        </w:numPr>
      </w:pPr>
      <w:r>
        <w:t>Den Sabbat begehen</w:t>
      </w:r>
    </w:p>
    <w:p w14:paraId="4FC21846" w14:textId="77777777" w:rsidR="00720CE4" w:rsidRDefault="007A5B46" w:rsidP="004F5A6D">
      <w:pPr>
        <w:numPr>
          <w:ilvl w:val="1"/>
          <w:numId w:val="22"/>
        </w:numPr>
      </w:pPr>
      <w:r>
        <w:t>Tora: Niemand soll Lasten tragen (Jeremia 17,21-22; Exodus 16,29).</w:t>
      </w:r>
    </w:p>
    <w:p w14:paraId="01B35EE4" w14:textId="41A771B6" w:rsidR="007A5B46" w:rsidRPr="007A5B46" w:rsidRDefault="007A5B46" w:rsidP="004F5A6D">
      <w:pPr>
        <w:numPr>
          <w:ilvl w:val="1"/>
          <w:numId w:val="22"/>
        </w:numPr>
      </w:pPr>
      <w:r>
        <w:t>Rabbinisch: Eruv schafft einen fiktiven privaten Bereich (Mishnah Eruvin).</w:t>
      </w:r>
    </w:p>
    <w:p w14:paraId="405B906A" w14:textId="77777777" w:rsidR="00720CE4" w:rsidRDefault="007A5B46" w:rsidP="007A5B46">
      <w:pPr>
        <w:numPr>
          <w:ilvl w:val="0"/>
          <w:numId w:val="22"/>
        </w:numPr>
      </w:pPr>
      <w:r>
        <w:t>Entfernung von Chametz zu Pessach</w:t>
      </w:r>
    </w:p>
    <w:p w14:paraId="673A40FB" w14:textId="642A285E" w:rsidR="00720CE4" w:rsidRDefault="007A5B46" w:rsidP="004F5A6D">
      <w:pPr>
        <w:numPr>
          <w:ilvl w:val="1"/>
          <w:numId w:val="22"/>
        </w:numPr>
      </w:pPr>
      <w:r>
        <w:t>Tora: „Ihr sollt den Sauerteig aus euren Häusern entfernen.“ (Exodus 12,15)</w:t>
      </w:r>
    </w:p>
    <w:p w14:paraId="594C0700" w14:textId="49DE10E0" w:rsidR="007A5B46" w:rsidRPr="007A5B46" w:rsidRDefault="007A5B46" w:rsidP="004F5A6D">
      <w:pPr>
        <w:numPr>
          <w:ilvl w:val="1"/>
          <w:numId w:val="22"/>
        </w:numPr>
      </w:pPr>
      <w:r>
        <w:t>Rabbinisch: Der „Verkauf“ von Chametz an einen Nichtjuden als juristische Fiktion.</w:t>
      </w:r>
    </w:p>
    <w:p w14:paraId="38DC7B4A" w14:textId="77777777" w:rsidR="00720CE4" w:rsidRDefault="007A5B46" w:rsidP="007A5B46">
      <w:pPr>
        <w:numPr>
          <w:ilvl w:val="0"/>
          <w:numId w:val="22"/>
        </w:numPr>
      </w:pPr>
      <w:r>
        <w:t>Todesstrafen undurchführbar gemacht</w:t>
      </w:r>
    </w:p>
    <w:p w14:paraId="2D704C96" w14:textId="77777777" w:rsidR="00720CE4" w:rsidRDefault="007A5B46" w:rsidP="004F5A6D">
      <w:pPr>
        <w:numPr>
          <w:ilvl w:val="1"/>
          <w:numId w:val="22"/>
        </w:numPr>
      </w:pPr>
      <w:r>
        <w:t>Tora: Tod für rebellischen Sohn, Sabbatverletzung usw. (Deuteronomium 21,18-21; Exodus 31,14)</w:t>
      </w:r>
    </w:p>
    <w:p w14:paraId="54B5715A" w14:textId="2EE54AB8" w:rsidR="007A5B46" w:rsidRPr="007A5B46" w:rsidRDefault="007A5B46" w:rsidP="004F5A6D">
      <w:pPr>
        <w:numPr>
          <w:ilvl w:val="1"/>
          <w:numId w:val="22"/>
        </w:numPr>
      </w:pPr>
      <w:r>
        <w:t>Talmud: Bedingungen, die so streng sind, dass sie „niemals eingetreten sind“ (Sanhedrin 71a).</w:t>
      </w:r>
    </w:p>
    <w:p w14:paraId="7CF6F256" w14:textId="77777777" w:rsidR="00720CE4" w:rsidRDefault="007A5B46" w:rsidP="007A5B46">
      <w:pPr>
        <w:numPr>
          <w:ilvl w:val="0"/>
          <w:numId w:val="22"/>
        </w:numPr>
      </w:pPr>
      <w:r>
        <w:t>Feuer am Sabbat entzünden</w:t>
      </w:r>
    </w:p>
    <w:p w14:paraId="4475663D" w14:textId="77777777" w:rsidR="00720CE4" w:rsidRDefault="007A5B46" w:rsidP="004F5A6D">
      <w:pPr>
        <w:numPr>
          <w:ilvl w:val="1"/>
          <w:numId w:val="22"/>
        </w:numPr>
      </w:pPr>
      <w:r>
        <w:t>Tora: „Du sollst am Sabbat kein Feuer anzünden.“ (Exodus 35,3)</w:t>
      </w:r>
    </w:p>
    <w:p w14:paraId="4FCA7F2F" w14:textId="28BBB758" w:rsidR="007A5B46" w:rsidRPr="007A5B46" w:rsidRDefault="007A5B46" w:rsidP="004F5A6D">
      <w:pPr>
        <w:numPr>
          <w:ilvl w:val="1"/>
          <w:numId w:val="22"/>
        </w:numPr>
      </w:pPr>
      <w:r>
        <w:t>Rabbinisch: Erlaubt vorangezündete Kerzen und Wärme (unterscheidet verschiedene Arbeitsarten).</w:t>
      </w:r>
    </w:p>
    <w:p w14:paraId="267E00B9" w14:textId="77777777" w:rsidR="007A5B46" w:rsidRPr="007A5B46" w:rsidRDefault="007A5B46" w:rsidP="007A5B46">
      <w:r>
        <w:t>Diese Übertretungen spiegeln Jesu Anklage wider: „Ihr setzt das Wort Gottes durch eure Überlieferung außer Kraft.“ (Markus 7,13; vgl. Korban-Gelübde in Markus 7,9-13).</w:t>
      </w:r>
    </w:p>
    <w:p w14:paraId="4AEE7A18" w14:textId="77777777" w:rsidR="007A5B46" w:rsidRPr="007A5B46" w:rsidRDefault="007A5B46" w:rsidP="008A2848">
      <w:pPr>
        <w:pStyle w:val="Heading1"/>
      </w:pPr>
      <w:r>
        <w:t>3. Gesamtkritik: Theologische und logische Implikationen</w:t>
      </w:r>
    </w:p>
    <w:p w14:paraId="39CED019" w14:textId="77777777" w:rsidR="007A5B46" w:rsidRPr="007A5B46" w:rsidRDefault="007A5B46" w:rsidP="007A5B46">
      <w:r>
        <w:t>Das rabbinische Judentum entstand als Überlebensmechanismus nach der Ablehnung Jesu und der Zerstörung des Tempels (die Jesus voraussagte, Matthäus 24,2). Indem es die mündliche Überlieferung und menschliche Verdienste überhöhte, schuf es ein System, das Jesus und Paulus als legalistische Knechtschaft verurteilten (Matthäus 23; Galater 3,10-11). Logischerweise legt der Talmud, wenn er zwar frühere Schriften bestätigt, sie aber so uminterpretiert, dass Jesus ausgeschlossen wird, während seine Zeichen (als Zauberei) anerkannt werden, ein falsches Zeugnis ab. Interne Übergriffe – wie die Behauptung von Rabbinern, Gott zu „besiegen“ – stehen im Widerspruch zur unveränderlichen Wahrheit der Bibel: „Jesus Christus ist derselbe gestern und heute und in Ewigkeit.“ (Hebräer 13,8). Dies stellt die rabbinischen Führer als die „blinden Führer“ dar, vor denen Jesus warnte, die Israel vom wahren Messias ablenkten, der von Mose und den Propheten verheißen wurde.</w:t>
      </w:r>
    </w:p>
    <w:p w14:paraId="4E121FB4" w14:textId="77777777" w:rsidR="007A5B46" w:rsidRPr="007A5B46" w:rsidRDefault="007A5B46" w:rsidP="008A2848">
      <w:pPr>
        <w:pStyle w:val="Heading1"/>
      </w:pPr>
      <w:r>
        <w:t>4. Hypothetisch: Was Jesus den modernen rabbinischen Juden sagen könnte, basierend auf seinen biblischen Worten an die Pharisäer/Schriftgelehrten</w:t>
      </w:r>
    </w:p>
    <w:p w14:paraId="3A5EE303" w14:textId="77777777" w:rsidR="00720CE4" w:rsidRDefault="007A5B46" w:rsidP="007A5B46">
      <w:r>
        <w:t>„Ihr Schlangen, ihr Otternbrut! Wie wollt ihr dem Gericht der Hölle entgehen?“ (Matthäus 23,33)</w:t>
      </w:r>
    </w:p>
    <w:p w14:paraId="25BDC625" w14:textId="77777777" w:rsidR="00720CE4" w:rsidRDefault="007A5B46" w:rsidP="007A5B46">
      <w:r>
        <w:t>„Weh euch, Schriftgelehrte und Pharisäer, ihr Heuchler! Denn ihr verschließt den Menschen das Himmelreich… ihr macht ihn doppelt so sehr zu einem Kind der Hölle wie euch selbst.“ (Matthäus 23,13-15)</w:t>
      </w:r>
    </w:p>
    <w:p w14:paraId="21ADF172" w14:textId="77777777" w:rsidR="00720CE4" w:rsidRDefault="007A5B46" w:rsidP="007A5B46">
      <w:r>
        <w:t>„Ihr lasst Gottes Gebot links liegen und haltet an der Überlieferung der Menschen fest… Ihr habt eine feine Art, Gottes Gebot zu verwerfen, um eure eigene Überlieferung zu etablieren!“ (Markus 7,8-9.13)</w:t>
      </w:r>
    </w:p>
    <w:p w14:paraId="0CED94F8" w14:textId="77777777" w:rsidR="00720CE4" w:rsidRDefault="007A5B46" w:rsidP="007A5B46">
      <w:r>
        <w:t>„Jesaja hatte recht… ‚Dieses Volk ehrt mich mit den Lippen, aber ihr Herz ist fern von mir; vergeblich verehren sie mich, indem sie Lehren verkünden, die Gebote von Menschen sind.‘“ (Matthäus 15,7-9)</w:t>
      </w:r>
    </w:p>
    <w:p w14:paraId="5B45B66F" w14:textId="77777777" w:rsidR="00720CE4" w:rsidRDefault="007A5B46" w:rsidP="007A5B46">
      <w:r>
        <w:t>„Niemand kommt zum Vater außer durch mich.“ (Johannes 14,6)</w:t>
      </w:r>
    </w:p>
    <w:p w14:paraId="439828E8" w14:textId="77777777" w:rsidR="00720CE4" w:rsidRDefault="007A5B46" w:rsidP="007A5B46">
      <w:r>
        <w:t>„Ihr erforscht die Schriften, weil ihr meint, in ihnen das ewige Leben zu haben; und sie sind es, die von mir zeugen; doch ihr wollt nicht zu mir kommen, um das Leben zu empfangen.“ (Johannes 5,39-40)</w:t>
      </w:r>
    </w:p>
    <w:p w14:paraId="28572751" w14:textId="1C74B032" w:rsidR="007A5B46" w:rsidRPr="007A5B46" w:rsidRDefault="007A5B46" w:rsidP="007A5B46">
      <w:r>
        <w:t>„Kommt zu mir, alle ihr Mühseligen und Beladenen [unter rabbinischen Lasten], und ich werde euch Ruhe geben.“ (Matthäus 11,28)</w:t>
      </w:r>
    </w:p>
    <w:p w14:paraId="328C099F" w14:textId="77777777" w:rsidR="007A5B46" w:rsidRPr="007A5B46" w:rsidRDefault="007A5B46" w:rsidP="008A2848">
      <w:pPr>
        <w:pStyle w:val="Heading1"/>
      </w:pPr>
      <w:r>
        <w:t>5. Hypothetisch: Was die Apostel den modernen rabbinischen Juden aufgrund ihrer biblischen Worte sagen könnten</w:t>
      </w:r>
    </w:p>
    <w:p w14:paraId="4F272A08" w14:textId="77777777" w:rsidR="00720CE4" w:rsidRDefault="007A5B46" w:rsidP="007A5B46">
      <w:r>
        <w:t>Paulus (ehemaliger Pharisäer):</w:t>
      </w:r>
    </w:p>
    <w:p w14:paraId="6E825C61" w14:textId="77777777" w:rsidR="00720CE4" w:rsidRDefault="007A5B46" w:rsidP="007A5B46">
      <w:r>
        <w:t>„Brüder und Schwestern, mein Herzenswunsch und mein Gebet zu Gott für sie [Israel] ist, dass sie gerettet werden. Denn ich bezeuge ihnen, dass sie Eifer für Gott haben, aber nicht gemäß der Erkenntnis. Denn da sie die Gerechtigkeit Gottes nicht erkannten und ihre eigene aufrichten wollten, haben sie sich der Gerechtigkeit Gottes nicht unterworfen.“ (Römer 10,1–3)</w:t>
      </w:r>
    </w:p>
    <w:p w14:paraId="2E146052" w14:textId="77777777" w:rsidR="00720CE4" w:rsidRDefault="007A5B46" w:rsidP="007A5B46">
      <w:r>
        <w:t>„Was sollen wir nun sagen? Dass die Heiden … die Gerechtigkeit erlangt haben … Israel aber … keinen Erfolg hatten … weil sie sie nicht aus Glauben, sondern aus Werken erlangt haben.“ (Römer 9,30-32)</w:t>
      </w:r>
    </w:p>
    <w:p w14:paraId="0497C8D9" w14:textId="77777777" w:rsidR="00720CE4" w:rsidRDefault="007A5B46" w:rsidP="007A5B46">
      <w:r>
        <w:t>„Ihr unverständigen Galater [bezieht sich auf Gesetzeslehrer]! Wer hat euch verzaubert?… Habt ihr den Heiligen Geist durch Werke des Gesetzes oder durch das Hören des Glaubens empfangen?“ (Galater 3,1-2)</w:t>
      </w:r>
    </w:p>
    <w:p w14:paraId="4159DF45" w14:textId="5EBFF145" w:rsidR="007A5B46" w:rsidRPr="007A5B46" w:rsidRDefault="007A5B46" w:rsidP="007A5B46">
      <w:r>
        <w:t>„Wenn ihr die Beschneidung [oder rabbinische Verdienste] annehmt, wird euch Christus nichts nützen… Ihr seid von Christus getrennt, ihr, die ihr durch das Gesetz gerechtfertigt werden wollt.“ (Galater 5,2-4)</w:t>
      </w:r>
    </w:p>
    <w:p w14:paraId="146D5412" w14:textId="77777777" w:rsidR="00720CE4" w:rsidRDefault="007A5B46" w:rsidP="007A5B46">
      <w:r>
        <w:t>Peter:</w:t>
      </w:r>
    </w:p>
    <w:p w14:paraId="2FD730FC" w14:textId="4E00EC12" w:rsidR="007A5B46" w:rsidRPr="007A5B46" w:rsidRDefault="007A5B46" w:rsidP="007A5B46">
      <w:r>
        <w:t>„Durch ihn [Jesus] wird jeder, der glaubt, von allem befreit, wovon ihr durch das Gesetz des Mose nicht befreit werden konntet.“ (Apostelgeschichte 13,39, an Juden gerichtet)</w:t>
      </w:r>
    </w:p>
    <w:p w14:paraId="265984FB" w14:textId="77777777" w:rsidR="00720CE4" w:rsidRDefault="007A5B46" w:rsidP="007A5B46">
      <w:r>
        <w:t>John:</w:t>
      </w:r>
    </w:p>
    <w:p w14:paraId="6D7F01FF" w14:textId="413EEEBC" w:rsidR="007A5B46" w:rsidRPr="007A5B46" w:rsidRDefault="007A5B46" w:rsidP="007A5B46">
      <w:r>
        <w:t>„Wer ist der Lügner, wenn nicht der, der leugnet, dass Jesus der Christus ist? Das ist der Antichrist, der den Vater und den Sohn leugnet.“ (1. Johannes 2,22)</w:t>
      </w:r>
    </w:p>
    <w:p w14:paraId="244EAA74" w14:textId="77777777" w:rsidR="00720CE4" w:rsidRDefault="007A5B46" w:rsidP="007A5B46">
      <w:r>
        <w:t>Jude:</w:t>
      </w:r>
    </w:p>
    <w:p w14:paraId="3C7C744B" w14:textId="534F4D20" w:rsidR="007A5B46" w:rsidRPr="007A5B46" w:rsidRDefault="007A5B46" w:rsidP="007A5B46">
      <w:r>
        <w:t>„Ein gewisses Volk hat sich unbemerkt eingeschlichen… gottlose Menschen, die die Gnade unseres Gottes in Zügellosigkeit verkehren und unseren einzigen Meister und Herrn, Jesus Christus, verleugnen.“ (Judas 4)</w:t>
      </w:r>
    </w:p>
    <w:p w14:paraId="0D864760" w14:textId="77777777" w:rsidR="007A5B46" w:rsidRPr="007A5B46" w:rsidRDefault="007A5B46" w:rsidP="007A5B46">
      <w:r>
        <w:t>Die Apostel – viele von ihnen ehemalige, streng nach der Tora handelnde Juden – würden die rabbinische Ablehnung der Sühne Jesu und die Erhöhung der mündlichen Lehre als genau den Fluch der Werkgerechtigkeit ansehen, dem sie entkommen waren.</w:t>
      </w:r>
    </w:p>
    <w:p w14:paraId="736CF774" w14:textId="77777777" w:rsidR="007A5B46" w:rsidRPr="007A5B46" w:rsidRDefault="007A5B46" w:rsidP="008A2848">
      <w:pPr>
        <w:pStyle w:val="Heading1"/>
      </w:pPr>
      <w:r>
        <w:t>6. Hypothetisches Szenario: Was alttestamentliche Propheten den modernen rabbinischen Juden aufgrund ihrer biblischen Worte sagen könnten</w:t>
      </w:r>
    </w:p>
    <w:p w14:paraId="5C5801D0" w14:textId="77777777" w:rsidR="00720CE4" w:rsidRDefault="007A5B46" w:rsidP="007A5B46">
      <w:r>
        <w:t>Moses:</w:t>
      </w:r>
    </w:p>
    <w:p w14:paraId="3D2F09C3" w14:textId="77777777" w:rsidR="00720CE4" w:rsidRDefault="007A5B46" w:rsidP="007A5B46">
      <w:r>
        <w:t>„Ihr sollt nichts hinzufügen zu dem Wort, das ich euch gebiete, noch etwas davon wegnehmen.“ (5. Mose 4,2)</w:t>
      </w:r>
    </w:p>
    <w:p w14:paraId="365E0538" w14:textId="374A6C71" w:rsidR="007A5B46" w:rsidRPr="007A5B46" w:rsidRDefault="007A5B46" w:rsidP="007A5B46">
      <w:r>
        <w:t>„Ich werde ihnen einen Propheten wie dich [Mose] aus ihren Brüdern erwecken… Wer aber nicht auf meine Worte hört, die er in meinem Namen reden soll, den werde ich selbst zur Rechenschaft ziehen.“ (5. Mose 18,18-19 – erfüllt in Jesus, Apostelgeschichte 3,22-23)</w:t>
      </w:r>
    </w:p>
    <w:p w14:paraId="30589AC9" w14:textId="77777777" w:rsidR="00720CE4" w:rsidRDefault="007A5B46" w:rsidP="007A5B46">
      <w:r>
        <w:t>Jesaja:</w:t>
      </w:r>
    </w:p>
    <w:p w14:paraId="1C05B7D3" w14:textId="77777777" w:rsidR="00720CE4" w:rsidRDefault="007A5B46" w:rsidP="007A5B46">
      <w:r>
        <w:t>„Denn uns ist ein Kind geboren… Starker Gott, ewiger Vater.“ (Jesaja 9,6)</w:t>
      </w:r>
    </w:p>
    <w:p w14:paraId="4FFAF45C" w14:textId="5236D13B" w:rsidR="007A5B46" w:rsidRPr="007A5B46" w:rsidRDefault="007A5B46" w:rsidP="007A5B46">
      <w:r>
        <w:t>„Er wurde durchbohrt wegen unserer Übertretungen… der HERR hat auf ihn gelegt die Schuld von uns allen.“ (Jesaja 53,5-6 – rabbinische Neuinterpretation als Israel, vom Neuen Testament abgelehnt)</w:t>
      </w:r>
    </w:p>
    <w:p w14:paraId="541C8C8D" w14:textId="77777777" w:rsidR="00720CE4" w:rsidRDefault="007A5B46" w:rsidP="007A5B46">
      <w:r>
        <w:t>Jeremia:</w:t>
      </w:r>
    </w:p>
    <w:p w14:paraId="139790AD" w14:textId="77777777" w:rsidR="00720CE4" w:rsidRDefault="007A5B46" w:rsidP="007A5B46">
      <w:r>
        <w:t>„Siehe, es kommen Tage, da ich einen neuen Bund schließen werde, nicht wie den Bund, den sie mit ihren Vätern geschlossen haben.“ (Jeremia 31,31-32 – erfüllt im Blut Christi, Hebräer 8,8-13)</w:t>
      </w:r>
    </w:p>
    <w:p w14:paraId="697D3E0B" w14:textId="6648D81C" w:rsidR="007A5B46" w:rsidRPr="007A5B46" w:rsidRDefault="007A5B46" w:rsidP="007A5B46">
      <w:r>
        <w:t>„Die Propheten weissagen Lügen in meinem Namen… Sie verkünden Visionen aus ihrem eigenen Herzen.“ (Jeremia 23,16.25)</w:t>
      </w:r>
    </w:p>
    <w:p w14:paraId="6DFA51C0" w14:textId="77777777" w:rsidR="00720CE4" w:rsidRDefault="007A5B46" w:rsidP="007A5B46">
      <w:r>
        <w:t>Maleachi (letzter Prophet des Alten Testaments):</w:t>
      </w:r>
    </w:p>
    <w:p w14:paraId="04C216EC" w14:textId="389602E8" w:rsidR="007A5B46" w:rsidRPr="007A5B46" w:rsidRDefault="007A5B46" w:rsidP="007A5B46">
      <w:r>
        <w:t>„Gedenkt des Gesetzes meines Knechtes Mose… Siehe, ich werde euch den Propheten Elia senden, ehe der große und furchtbare Tag des HERRN kommt.“ (Maleachi 4,4-5 – erfüllt in Johannes dem Täufer, Matthäus 11,14)</w:t>
      </w:r>
    </w:p>
    <w:p w14:paraId="3F327795" w14:textId="77777777" w:rsidR="00720CE4" w:rsidRDefault="007A5B46" w:rsidP="007A5B46">
      <w:r>
        <w:t>David:</w:t>
      </w:r>
    </w:p>
    <w:p w14:paraId="5969A088" w14:textId="77777777" w:rsidR="00720CE4" w:rsidRDefault="007A5B46" w:rsidP="007A5B46">
      <w:r>
        <w:t>„Der HERR spricht zu meinem Herrn: Setz dich zu meiner Rechten…“ (Psalm 110,1 – Jesus bezog sich auf sich selbst, Matthäus 22,41-46)</w:t>
      </w:r>
    </w:p>
    <w:p w14:paraId="24F616EE" w14:textId="0E226AD8" w:rsidR="007A5B46" w:rsidRPr="007A5B46" w:rsidRDefault="007A5B46" w:rsidP="007A5B46">
      <w:r>
        <w:t>„Küsst den Sohn, damit er nicht zürnt… Wohl allen, die bei ihm Zuflucht suchen.“ (Psalm 2,12)</w:t>
      </w:r>
    </w:p>
    <w:p w14:paraId="0FDA6EF9" w14:textId="77777777" w:rsidR="007A5B46" w:rsidRPr="007A5B46" w:rsidRDefault="007A5B46" w:rsidP="007A5B46">
      <w:r>
        <w:t>Die Propheten würden rabbinische Zusätze, Neuinterpretationen messianischer Prophezeiungen und die Ablehnung des leidenden göttlichen Knechtes als die Täuschung ansehen, die Mose und Jeremia verurteilten – nämlich das Hinzufügen von Texten zur Tora, die Ablehnung des Propheten wie Mose (Jesus) und den Bruch des ewigen Bundes, den Gott geschworen hatte, niemals zu ändern (Psalm 89,34; 105,8-10).</w:t>
      </w:r>
    </w:p>
    <w:p w14:paraId="49DFF703" w14:textId="77777777" w:rsidR="007A5B46" w:rsidRPr="007A5B46" w:rsidRDefault="007A5B46" w:rsidP="007A5B46">
      <w:r>
        <w:t>Dieses erweiterte Dokument präsentiert einen umfassenderen biblischen Chor – von Mose und den Propheten über Jesus und seine Apostel – vereint gegen jedes System, das den ewigen Messias schmälert, menschliche Tradition an die Stelle der göttlichen Gnade setzt und den Eckstein ablehnt. „Jesus Christus ist derselbe gestern und heute und in Ewigkeit. Lasst euch nicht von allerlei fremden Lehren verführen.“ (Hebräer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