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سبع مراحل للرحلات التوراتية - مخطط تفصيلي</w:t>
      </w:r>
    </w:p>
    <w:p w14:paraId="733A424D" w14:textId="77777777" w:rsidR="00774784" w:rsidRPr="00774784" w:rsidRDefault="00774784" w:rsidP="00AA4055">
      <w:pPr>
        <w:pStyle w:val="Heading1"/>
      </w:pPr>
      <w:r>
        <w:t>مقدمة</w:t>
      </w:r>
    </w:p>
    <w:p w14:paraId="1D0E847B" w14:textId="77777777" w:rsidR="00774784" w:rsidRPr="00774784" w:rsidRDefault="00774784" w:rsidP="00774784">
      <w:r>
        <w:t>هذه الوثيقة مستوحاة من نصوص عبرانيين ٣: ٧-٤: ١١ وكورنثوس الأولى ١٠: ١-٦، التي تتحدث عن رحلات مختلفة تؤدي إلى راحة السبت. في عبرانيين، نجد إشارات إلى راحة الله بعد الخلق، ورحلة بني إسرائيل إلى أرض الميعاد، ورحلة يسوع، وسعي المؤمن لدخول راحة الله. تُصنِّف هذه الوثيقة هذه الرحلات في سبع مراحل، مُبيِّنةً أوجه التشابه والترابط بينها.</w:t>
      </w:r>
    </w:p>
    <w:p w14:paraId="50FD1A81" w14:textId="53A45D78" w:rsidR="00774784" w:rsidRPr="00774784" w:rsidRDefault="00774784" w:rsidP="00774784">
      <w:pPr>
        <w:numPr>
          <w:ilvl w:val="0"/>
          <w:numId w:val="2"/>
        </w:numPr>
      </w:pPr>
      <w:r>
        <w:t>تُبيّن رحلة الخلق الأيام السبعة للخلق، والتي تتوج براحة الله. عبرانيين 4:4</w:t>
      </w:r>
    </w:p>
    <w:p w14:paraId="18EEAD11" w14:textId="18358DFC" w:rsidR="00774784" w:rsidRPr="00774784" w:rsidRDefault="00774784" w:rsidP="00774784">
      <w:pPr>
        <w:numPr>
          <w:ilvl w:val="0"/>
          <w:numId w:val="2"/>
        </w:numPr>
      </w:pPr>
      <w:r>
        <w:t>تتبع رحلة العبرانيين مسيرة بني إسرائيل من العبودية في مصر إلى أرض الميعاد. عبرانيين 4: 8</w:t>
      </w:r>
    </w:p>
    <w:p w14:paraId="177235BA" w14:textId="1F6CC585" w:rsidR="00774784" w:rsidRPr="00774784" w:rsidRDefault="00774784" w:rsidP="00774784">
      <w:pPr>
        <w:numPr>
          <w:ilvl w:val="0"/>
          <w:numId w:val="2"/>
        </w:numPr>
      </w:pPr>
      <w:r>
        <w:t>يتتبع كتاب &amp;quot;رحلة المسيح&amp;quot; حياة يسوع من ميلاده إلى صعوده. عبرانيين 4: 10 (ترجمة NASB)</w:t>
      </w:r>
    </w:p>
    <w:p w14:paraId="1383DE2A" w14:textId="49717C29" w:rsidR="00774784" w:rsidRPr="00774784" w:rsidRDefault="00774784" w:rsidP="00774784">
      <w:pPr>
        <w:numPr>
          <w:ilvl w:val="0"/>
          <w:numId w:val="2"/>
        </w:numPr>
      </w:pPr>
      <w:r>
        <w:t>تمثل رحلة التلميذ/القديس مسار المؤمن من الكفر إلى دخول الملكوت السماوي. عبرانيين 4: 11</w:t>
      </w:r>
    </w:p>
    <w:p w14:paraId="44EEB092" w14:textId="77777777" w:rsidR="00774784" w:rsidRPr="00774784" w:rsidRDefault="00774784" w:rsidP="00774784">
      <w:r>
        <w:t>تنقسم كل رحلة إلى سبع مراحل، مع عمود ذي دلالة عددية يسلط الضوء على الأرقام الرمزية المرتبطة بكل مرحلة، والمستمدة من مراجع كتابية مختلفة.</w:t>
      </w:r>
    </w:p>
    <w:p w14:paraId="13F8BD8A" w14:textId="77777777" w:rsidR="00774784" w:rsidRPr="00774784" w:rsidRDefault="00774784" w:rsidP="000D5213">
      <w:pPr>
        <w:pStyle w:val="Heading1"/>
      </w:pPr>
      <w:r>
        <w:t>نظرة عامة على المراحل</w:t>
      </w:r>
    </w:p>
    <w:p w14:paraId="488C0B35" w14:textId="77777777" w:rsidR="00774784" w:rsidRPr="00774784" w:rsidRDefault="00774784" w:rsidP="00774784">
      <w:r>
        <w:t>فيما يلي نظرة عامة موجزة لما تمثله كل مرحلة من المراحل الأربع:</w:t>
      </w:r>
    </w:p>
    <w:p w14:paraId="3F96D34F" w14:textId="0E26C910" w:rsidR="00774784" w:rsidRPr="00774784" w:rsidRDefault="00774784" w:rsidP="00774784">
      <w:pPr>
        <w:numPr>
          <w:ilvl w:val="0"/>
          <w:numId w:val="3"/>
        </w:numPr>
      </w:pPr>
      <w:r>
        <w:t>المرحلة 0: الحالة الأولية قبل بدء الرحلة، وتتميز بالخطيئة والفوضى والعبودية أو عدم الإيمان.</w:t>
      </w:r>
    </w:p>
    <w:p w14:paraId="18355C7C" w14:textId="7B9F16FF" w:rsidR="00774784" w:rsidRPr="00774784" w:rsidRDefault="00774784" w:rsidP="00774784">
      <w:pPr>
        <w:numPr>
          <w:ilvl w:val="0"/>
          <w:numId w:val="3"/>
        </w:numPr>
      </w:pPr>
      <w:r>
        <w:t>المرحلة الأولى: بداية الرحلة مع النور، أو الإيمان، أو العقيدة، أو الظهور.</w:t>
      </w:r>
    </w:p>
    <w:p w14:paraId="5229D245" w14:textId="6ED9AA95" w:rsidR="00774784" w:rsidRPr="00774784" w:rsidRDefault="00774784" w:rsidP="00774784">
      <w:pPr>
        <w:numPr>
          <w:ilvl w:val="0"/>
          <w:numId w:val="3"/>
        </w:numPr>
      </w:pPr>
      <w:r>
        <w:t>المرحلة الثانية: الانفصال أو الابتعاد عن الحالة القديمة إلى حالة جديدة، التوبة.</w:t>
      </w:r>
    </w:p>
    <w:p w14:paraId="29747703" w14:textId="254F02EF" w:rsidR="00774784" w:rsidRPr="00774784" w:rsidRDefault="00774784" w:rsidP="00774784">
      <w:pPr>
        <w:numPr>
          <w:ilvl w:val="0"/>
          <w:numId w:val="3"/>
        </w:numPr>
      </w:pPr>
      <w:r>
        <w:t>المرحلة الثالثة: الولادة أو العبور، غالباً عبر الماء. الدفن وبداية حياة جديدة.</w:t>
      </w:r>
    </w:p>
    <w:p w14:paraId="74066EAD" w14:textId="77777777" w:rsidR="00774784" w:rsidRPr="00774784" w:rsidRDefault="00774784" w:rsidP="00774784">
      <w:pPr>
        <w:numPr>
          <w:ilvl w:val="0"/>
          <w:numId w:val="3"/>
        </w:numPr>
      </w:pPr>
      <w:r>
        <w:t>المرحلة الرابعة: التوجيه أو تلقي القانون أو الروح.</w:t>
      </w:r>
    </w:p>
    <w:p w14:paraId="35D0D2B7" w14:textId="312D2AAD" w:rsidR="00774784" w:rsidRPr="00774784" w:rsidRDefault="00774784" w:rsidP="00774784">
      <w:pPr>
        <w:numPr>
          <w:ilvl w:val="0"/>
          <w:numId w:val="3"/>
        </w:numPr>
      </w:pPr>
      <w:r>
        <w:t>المرحلة الخامسة: وقت الاختبار أو المحن. وأيضًا، وقت الفضل/النعمة.</w:t>
      </w:r>
    </w:p>
    <w:p w14:paraId="273097AA" w14:textId="67B6FA58" w:rsidR="00774784" w:rsidRPr="00774784" w:rsidRDefault="00774784" w:rsidP="00774784">
      <w:pPr>
        <w:numPr>
          <w:ilvl w:val="0"/>
          <w:numId w:val="3"/>
        </w:numPr>
      </w:pPr>
      <w:r>
        <w:t>المرحلة السادسة: خلق جديد أو عبور، غالباً ما يكون مصحوباً بالدينونة. دفن وبعث آخران.</w:t>
      </w:r>
    </w:p>
    <w:p w14:paraId="0E371ECA" w14:textId="0CB77456" w:rsidR="00774784" w:rsidRPr="00774784" w:rsidRDefault="00774784" w:rsidP="00774784">
      <w:pPr>
        <w:numPr>
          <w:ilvl w:val="0"/>
          <w:numId w:val="3"/>
        </w:numPr>
      </w:pPr>
      <w:r>
        <w:t>المرحلة السابعة: الراحة أو الإشباع، والقداسة، وهدف الرحلة.</w:t>
      </w:r>
    </w:p>
    <w:p w14:paraId="73A4F08A" w14:textId="77777777" w:rsidR="00774784" w:rsidRPr="00774784" w:rsidRDefault="00774784" w:rsidP="00774784">
      <w:r>
        <w:t>يوضح الجدول أدناه كل مرحلة من مراحل الرحلات الأربع، مع مراجع النصوص المقدسة ذات الصلة من النسخة القياسية الجديدة المنقحة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جدول: المراحل السبع للرحلات التوراتية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مرحلة</w:t>
            </w:r>
          </w:p>
        </w:tc>
        <w:tc>
          <w:tcPr>
            <w:tcW w:w="0" w:type="auto"/>
            <w:vAlign w:val="center"/>
            <w:hideMark/>
          </w:tcPr>
          <w:p w14:paraId="3FBB3A95" w14:textId="77777777" w:rsidR="004509A2" w:rsidRPr="008C0C87" w:rsidRDefault="004509A2" w:rsidP="001B72EA">
            <w:pPr>
              <w:rPr>
                <w:b/>
                <w:bCs/>
                <w:sz w:val="18"/>
                <w:szCs w:val="18"/>
              </w:rPr>
            </w:pPr>
            <w:r>
              <w:t>رحلة الخلق</w:t>
            </w:r>
          </w:p>
        </w:tc>
        <w:tc>
          <w:tcPr>
            <w:tcW w:w="0" w:type="auto"/>
            <w:vAlign w:val="center"/>
            <w:hideMark/>
          </w:tcPr>
          <w:p w14:paraId="0CC32E23" w14:textId="77777777" w:rsidR="004509A2" w:rsidRPr="008C0C87" w:rsidRDefault="004509A2" w:rsidP="001B72EA">
            <w:pPr>
              <w:rPr>
                <w:b/>
                <w:bCs/>
                <w:sz w:val="18"/>
                <w:szCs w:val="18"/>
              </w:rPr>
            </w:pPr>
            <w:r>
              <w:t>رحلة عبرية</w:t>
            </w:r>
          </w:p>
        </w:tc>
        <w:tc>
          <w:tcPr>
            <w:tcW w:w="0" w:type="auto"/>
            <w:vAlign w:val="center"/>
            <w:hideMark/>
          </w:tcPr>
          <w:p w14:paraId="36CDBD8C" w14:textId="77777777" w:rsidR="004509A2" w:rsidRPr="008C0C87" w:rsidRDefault="004509A2" w:rsidP="001B72EA">
            <w:pPr>
              <w:rPr>
                <w:b/>
                <w:bCs/>
                <w:sz w:val="18"/>
                <w:szCs w:val="18"/>
              </w:rPr>
            </w:pPr>
            <w:r>
              <w:t>رحلة المسيح</w:t>
            </w:r>
          </w:p>
        </w:tc>
        <w:tc>
          <w:tcPr>
            <w:tcW w:w="0" w:type="auto"/>
            <w:vAlign w:val="center"/>
            <w:hideMark/>
          </w:tcPr>
          <w:p w14:paraId="0DED6C9E" w14:textId="5057B176" w:rsidR="004509A2" w:rsidRPr="008C0C87" w:rsidRDefault="004509A2" w:rsidP="001B72EA">
            <w:pPr>
              <w:rPr>
                <w:b/>
                <w:bCs/>
                <w:sz w:val="18"/>
                <w:szCs w:val="18"/>
              </w:rPr>
            </w:pPr>
            <w:r>
              <w:t>رحلة التلميذ/القديس</w:t>
            </w:r>
          </w:p>
        </w:tc>
        <w:tc>
          <w:tcPr>
            <w:tcW w:w="0" w:type="auto"/>
          </w:tcPr>
          <w:p w14:paraId="7BB49B49" w14:textId="3052D511" w:rsidR="004509A2" w:rsidRPr="008C0C87" w:rsidRDefault="009B4E9E" w:rsidP="001B72EA">
            <w:pPr>
              <w:rPr>
                <w:b/>
                <w:bCs/>
                <w:sz w:val="18"/>
                <w:szCs w:val="18"/>
              </w:rPr>
            </w:pPr>
            <w:r>
              <w:t>الأهمية العددية</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المرحلة صفر: الحالة الأولية، الفوضى، العبودية، الغياب، عدم الإيمان</w:t>
            </w:r>
          </w:p>
        </w:tc>
        <w:tc>
          <w:tcPr>
            <w:tcW w:w="0" w:type="auto"/>
            <w:vAlign w:val="center"/>
            <w:hideMark/>
          </w:tcPr>
          <w:p w14:paraId="349619DE" w14:textId="77777777" w:rsidR="004509A2" w:rsidRPr="008C0C87" w:rsidRDefault="004509A2" w:rsidP="001B72EA">
            <w:pPr>
              <w:rPr>
                <w:sz w:val="18"/>
                <w:szCs w:val="18"/>
              </w:rPr>
            </w:pPr>
            <w:r>
              <w:t>بلا شكل ومظلم الجيل 1:2</w:t>
            </w:r>
          </w:p>
        </w:tc>
        <w:tc>
          <w:tcPr>
            <w:tcW w:w="0" w:type="auto"/>
            <w:vAlign w:val="center"/>
            <w:hideMark/>
          </w:tcPr>
          <w:p w14:paraId="7D6B22B3" w14:textId="39B579BD" w:rsidR="004509A2" w:rsidRPr="008C0C87" w:rsidRDefault="004509A2" w:rsidP="001B72EA">
            <w:pPr>
              <w:rPr>
                <w:sz w:val="18"/>
                <w:szCs w:val="18"/>
              </w:rPr>
            </w:pPr>
            <w:r>
              <w:t>العبيد في مصر (خروج 1: 8-14)</w:t>
            </w:r>
          </w:p>
        </w:tc>
        <w:tc>
          <w:tcPr>
            <w:tcW w:w="0" w:type="auto"/>
            <w:vAlign w:val="center"/>
            <w:hideMark/>
          </w:tcPr>
          <w:p w14:paraId="121F310E" w14:textId="77777777" w:rsidR="004509A2" w:rsidRPr="008C0C87" w:rsidRDefault="004509A2" w:rsidP="001B72EA">
            <w:pPr>
              <w:rPr>
                <w:sz w:val="18"/>
                <w:szCs w:val="18"/>
              </w:rPr>
            </w:pPr>
            <w:r>
              <w:t>لا ظهور (يوحنا 1: 1-2)</w:t>
            </w:r>
          </w:p>
        </w:tc>
        <w:tc>
          <w:tcPr>
            <w:tcW w:w="0" w:type="auto"/>
            <w:vAlign w:val="center"/>
            <w:hideMark/>
          </w:tcPr>
          <w:p w14:paraId="51A99BA9" w14:textId="77777777" w:rsidR="004509A2" w:rsidRPr="008C0C87" w:rsidRDefault="004509A2" w:rsidP="001B72EA">
            <w:pPr>
              <w:rPr>
                <w:sz w:val="18"/>
                <w:szCs w:val="18"/>
              </w:rPr>
            </w:pPr>
            <w:r>
              <w:t>عدم الإيمان (أفسس ٢: ١-٣؛ ٢ كورنثوس ٤: ٤)</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المرحلة الأولى: النور، الاعتقاد، الظهور، الإيمان</w:t>
            </w:r>
          </w:p>
        </w:tc>
        <w:tc>
          <w:tcPr>
            <w:tcW w:w="0" w:type="auto"/>
            <w:vAlign w:val="center"/>
            <w:hideMark/>
          </w:tcPr>
          <w:p w14:paraId="1C7E812B" w14:textId="77777777" w:rsidR="004509A2" w:rsidRPr="008C0C87" w:rsidRDefault="004509A2" w:rsidP="001B72EA">
            <w:pPr>
              <w:rPr>
                <w:sz w:val="18"/>
                <w:szCs w:val="18"/>
              </w:rPr>
            </w:pPr>
            <w:r>
              <w:t>خلق النور وفصل النور عن الظلمة (تكوين 1: 3-5؛ يوحنا 1: 4-5؛ أعمال 26: 18)</w:t>
            </w:r>
          </w:p>
        </w:tc>
        <w:tc>
          <w:tcPr>
            <w:tcW w:w="0" w:type="auto"/>
            <w:vAlign w:val="center"/>
            <w:hideMark/>
          </w:tcPr>
          <w:p w14:paraId="3C2E0B77" w14:textId="4276DC0A" w:rsidR="004509A2" w:rsidRPr="008C0C87" w:rsidRDefault="004509A2" w:rsidP="001B72EA">
            <w:pPr>
              <w:rPr>
                <w:sz w:val="18"/>
                <w:szCs w:val="18"/>
              </w:rPr>
            </w:pPr>
            <w:r>
              <w:t>آمنوا بالمعجزات، وخرجوا من مصر (خروج 4: 31؛ خروج 10: 21-23؛ خروج 12: 31-33)</w:t>
            </w:r>
          </w:p>
        </w:tc>
        <w:tc>
          <w:tcPr>
            <w:tcW w:w="0" w:type="auto"/>
            <w:vAlign w:val="center"/>
            <w:hideMark/>
          </w:tcPr>
          <w:p w14:paraId="4D7A9A96" w14:textId="77777777" w:rsidR="004509A2" w:rsidRPr="008C0C87" w:rsidRDefault="004509A2" w:rsidP="001B72EA">
            <w:pPr>
              <w:rPr>
                <w:sz w:val="18"/>
                <w:szCs w:val="18"/>
              </w:rPr>
            </w:pPr>
            <w:r>
              <w:t>وُلِدَ، وخرج من مصر (يوحنا 8: 12؛ متى 2: 2؛ يوحنا 12: 46؛ إشعياء 9: 2؛ متى 4: 16؛ يوحنا 1: 4-5)</w:t>
            </w:r>
          </w:p>
        </w:tc>
        <w:tc>
          <w:tcPr>
            <w:tcW w:w="0" w:type="auto"/>
            <w:vAlign w:val="center"/>
            <w:hideMark/>
          </w:tcPr>
          <w:p w14:paraId="73895BD5" w14:textId="77777777" w:rsidR="004509A2" w:rsidRPr="008C0C87" w:rsidRDefault="004509A2" w:rsidP="001B72EA">
            <w:pPr>
              <w:rPr>
                <w:sz w:val="18"/>
                <w:szCs w:val="18"/>
              </w:rPr>
            </w:pPr>
            <w:r>
              <w:t>الإيمان (٢ كورنثوس ٤: ٦؛ أفسس ٥: ٨؛ أعمال الرسل ٢٦: ١٨)</w:t>
            </w:r>
          </w:p>
        </w:tc>
        <w:tc>
          <w:tcPr>
            <w:tcW w:w="0" w:type="auto"/>
          </w:tcPr>
          <w:p w14:paraId="3C4A1867" w14:textId="555606B8" w:rsidR="004509A2" w:rsidRPr="008C0C87" w:rsidRDefault="00941E91" w:rsidP="001B72EA">
            <w:pPr>
              <w:rPr>
                <w:sz w:val="18"/>
                <w:szCs w:val="18"/>
              </w:rPr>
            </w:pPr>
            <w:r>
              <w:t>تثنية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المرحلة الثانية: الانفصال، والرجوع، والطهارة من الخطيئة، والتوبة</w:t>
            </w:r>
          </w:p>
        </w:tc>
        <w:tc>
          <w:tcPr>
            <w:tcW w:w="0" w:type="auto"/>
            <w:vAlign w:val="center"/>
            <w:hideMark/>
          </w:tcPr>
          <w:p w14:paraId="7D6DCD65" w14:textId="77777777" w:rsidR="004509A2" w:rsidRPr="008C0C87" w:rsidRDefault="004509A2" w:rsidP="001B72EA">
            <w:pPr>
              <w:rPr>
                <w:sz w:val="18"/>
                <w:szCs w:val="18"/>
              </w:rPr>
            </w:pPr>
            <w:r>
              <w:t>يفصل الماء ويحول الفضاء إلى سماء (تكوين 1: 6-8)</w:t>
            </w:r>
          </w:p>
        </w:tc>
        <w:tc>
          <w:tcPr>
            <w:tcW w:w="0" w:type="auto"/>
            <w:vAlign w:val="center"/>
            <w:hideMark/>
          </w:tcPr>
          <w:p w14:paraId="786DA9C1" w14:textId="77777777" w:rsidR="004509A2" w:rsidRPr="008C0C87" w:rsidRDefault="004509A2" w:rsidP="001B72EA">
            <w:pPr>
              <w:rPr>
                <w:sz w:val="18"/>
                <w:szCs w:val="18"/>
              </w:rPr>
            </w:pPr>
            <w:r>
              <w:t>التوبة من مصر إلى الله، شقّ المياه (خروج ١٤: ٢١-٢٢؛ خروج ١٤: ٢٨؛ غلاطية ٤: ٧-٨؛ رومية ٦: ١٥-١٨)</w:t>
            </w:r>
          </w:p>
        </w:tc>
        <w:tc>
          <w:tcPr>
            <w:tcW w:w="0" w:type="auto"/>
            <w:vAlign w:val="center"/>
            <w:hideMark/>
          </w:tcPr>
          <w:p w14:paraId="221639F1" w14:textId="69EFAC67" w:rsidR="004509A2" w:rsidRPr="008C0C87" w:rsidRDefault="004509A2" w:rsidP="001B72EA">
            <w:pPr>
              <w:rPr>
                <w:sz w:val="18"/>
                <w:szCs w:val="18"/>
              </w:rPr>
            </w:pPr>
            <w:r>
              <w:t>حياة بلا خطيئة (متى ٢؛ متى ٤: ١٧؛ عبرانيين ٤: ١٥)</w:t>
            </w:r>
          </w:p>
        </w:tc>
        <w:tc>
          <w:tcPr>
            <w:tcW w:w="0" w:type="auto"/>
            <w:vAlign w:val="center"/>
            <w:hideMark/>
          </w:tcPr>
          <w:p w14:paraId="49B98A86" w14:textId="77777777" w:rsidR="004509A2" w:rsidRPr="008C0C87" w:rsidRDefault="004509A2" w:rsidP="001B72EA">
            <w:pPr>
              <w:rPr>
                <w:sz w:val="18"/>
                <w:szCs w:val="18"/>
              </w:rPr>
            </w:pPr>
            <w:r>
              <w:t>التوبة (أعمال الرسل ٣: ١٩؛ مزمور ٥١: ٧؛ أعمال الرسل ٢: ٣٨؛ أعمال الرسل ٢٦: ٢٠؛ غلاطية ٤: ٧-٨؛ رومية ٦: ١٥-١٨)</w:t>
            </w:r>
          </w:p>
        </w:tc>
        <w:tc>
          <w:tcPr>
            <w:tcW w:w="0" w:type="auto"/>
          </w:tcPr>
          <w:p w14:paraId="75358D2F" w14:textId="024461D6" w:rsidR="004509A2" w:rsidRPr="008C0C87" w:rsidRDefault="002A621E" w:rsidP="003619F4">
            <w:pPr>
              <w:rPr>
                <w:sz w:val="18"/>
                <w:szCs w:val="18"/>
              </w:rPr>
            </w:pPr>
            <w:r>
              <w:t>لاويين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المرحلة الثالثة: الميلاد، العبور، المعمودية، موت الذات</w:t>
            </w:r>
          </w:p>
        </w:tc>
        <w:tc>
          <w:tcPr>
            <w:tcW w:w="0" w:type="auto"/>
            <w:vAlign w:val="center"/>
            <w:hideMark/>
          </w:tcPr>
          <w:p w14:paraId="492A1DFA" w14:textId="77777777" w:rsidR="004509A2" w:rsidRPr="008C0C87" w:rsidRDefault="004509A2" w:rsidP="001B72EA">
            <w:pPr>
              <w:rPr>
                <w:sz w:val="18"/>
                <w:szCs w:val="18"/>
              </w:rPr>
            </w:pPr>
            <w:r>
              <w:t>تنبت النباتات من الأرض (تكوين 1: 9-13)</w:t>
            </w:r>
          </w:p>
        </w:tc>
        <w:tc>
          <w:tcPr>
            <w:tcW w:w="0" w:type="auto"/>
            <w:vAlign w:val="center"/>
            <w:hideMark/>
          </w:tcPr>
          <w:p w14:paraId="6FCCE56C" w14:textId="77777777" w:rsidR="004509A2" w:rsidRPr="008C0C87" w:rsidRDefault="004509A2" w:rsidP="001B72EA">
            <w:pPr>
              <w:rPr>
                <w:sz w:val="18"/>
                <w:szCs w:val="18"/>
              </w:rPr>
            </w:pPr>
            <w:r>
              <w:t>رحلة عبر البحر الأحمر (خروج ١٤: ٢٩؛ ١ كورنثوس ١٠: ١-٢)</w:t>
            </w:r>
          </w:p>
        </w:tc>
        <w:tc>
          <w:tcPr>
            <w:tcW w:w="0" w:type="auto"/>
            <w:vAlign w:val="center"/>
            <w:hideMark/>
          </w:tcPr>
          <w:p w14:paraId="228A45C4" w14:textId="77777777" w:rsidR="004509A2" w:rsidRPr="008C0C87" w:rsidRDefault="004509A2" w:rsidP="001B72EA">
            <w:pPr>
              <w:rPr>
                <w:sz w:val="18"/>
                <w:szCs w:val="18"/>
              </w:rPr>
            </w:pPr>
            <w:r>
              <w:t>معمودية يوحنا (مرقس 1: 9-11)</w:t>
            </w:r>
          </w:p>
        </w:tc>
        <w:tc>
          <w:tcPr>
            <w:tcW w:w="0" w:type="auto"/>
            <w:vAlign w:val="center"/>
            <w:hideMark/>
          </w:tcPr>
          <w:p w14:paraId="2DA3287A" w14:textId="77777777" w:rsidR="004509A2" w:rsidRPr="008C0C87" w:rsidRDefault="004509A2" w:rsidP="001B72EA">
            <w:pPr>
              <w:rPr>
                <w:sz w:val="18"/>
                <w:szCs w:val="18"/>
              </w:rPr>
            </w:pPr>
            <w:r>
              <w:t>الموت الأول/المعمودية (رومية 6: 4؛ يوحنا 15: 5؛ كولوسي 2: 12؛ 1 كورنثوس 10: 1-2)</w:t>
            </w:r>
          </w:p>
        </w:tc>
        <w:tc>
          <w:tcPr>
            <w:tcW w:w="0" w:type="auto"/>
          </w:tcPr>
          <w:p w14:paraId="144B17EC" w14:textId="68F08BF5" w:rsidR="004509A2" w:rsidRPr="008C0C87" w:rsidRDefault="003A053C" w:rsidP="001B72EA">
            <w:pPr>
              <w:rPr>
                <w:sz w:val="18"/>
                <w:szCs w:val="18"/>
              </w:rPr>
            </w:pPr>
            <w:r>
              <w:t>هوشع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المرحلة الرابعة: التوجيه، القانون، الروح، النور</w:t>
            </w:r>
          </w:p>
        </w:tc>
        <w:tc>
          <w:tcPr>
            <w:tcW w:w="0" w:type="auto"/>
            <w:vAlign w:val="center"/>
            <w:hideMark/>
          </w:tcPr>
          <w:p w14:paraId="11BAEAFB" w14:textId="77777777" w:rsidR="004509A2" w:rsidRPr="008C0C87" w:rsidRDefault="004509A2" w:rsidP="001B72EA">
            <w:pPr>
              <w:rPr>
                <w:sz w:val="18"/>
                <w:szCs w:val="18"/>
              </w:rPr>
            </w:pPr>
            <w:r>
              <w:t>خلقوا أنوارًا في السماوات. أنوارًا تحكم النور والظلمة (تكوين ١: ١٤-١٩)</w:t>
            </w:r>
          </w:p>
        </w:tc>
        <w:tc>
          <w:tcPr>
            <w:tcW w:w="0" w:type="auto"/>
            <w:vAlign w:val="center"/>
            <w:hideMark/>
          </w:tcPr>
          <w:p w14:paraId="4AD5495E" w14:textId="77777777" w:rsidR="004509A2" w:rsidRPr="008C0C87" w:rsidRDefault="004509A2" w:rsidP="001B72EA">
            <w:pPr>
              <w:rPr>
                <w:sz w:val="18"/>
                <w:szCs w:val="18"/>
              </w:rPr>
            </w:pPr>
            <w:r>
              <w:t>إعطاء الشريعة: عمود النار والسحاب (خروج 20؛ خروج 13: 21؛ 1 كورنثوس 10: 3-4)</w:t>
            </w:r>
          </w:p>
        </w:tc>
        <w:tc>
          <w:tcPr>
            <w:tcW w:w="0" w:type="auto"/>
            <w:vAlign w:val="center"/>
            <w:hideMark/>
          </w:tcPr>
          <w:p w14:paraId="736C7F1A" w14:textId="77777777" w:rsidR="004509A2" w:rsidRPr="008C0C87" w:rsidRDefault="004509A2" w:rsidP="001B72EA">
            <w:pPr>
              <w:rPr>
                <w:sz w:val="18"/>
                <w:szCs w:val="18"/>
              </w:rPr>
            </w:pPr>
            <w:r>
              <w:t>يستقبل الروح القدس (متى 3: 16؛ لوقا 3: 22؛ يوحنا 16: 13)</w:t>
            </w:r>
          </w:p>
        </w:tc>
        <w:tc>
          <w:tcPr>
            <w:tcW w:w="0" w:type="auto"/>
            <w:vAlign w:val="center"/>
            <w:hideMark/>
          </w:tcPr>
          <w:p w14:paraId="2454EE20" w14:textId="77777777" w:rsidR="004509A2" w:rsidRPr="008C0C87" w:rsidRDefault="004509A2" w:rsidP="001B72EA">
            <w:pPr>
              <w:rPr>
                <w:sz w:val="18"/>
                <w:szCs w:val="18"/>
              </w:rPr>
            </w:pPr>
            <w:r>
              <w:t>الروح القدس (٢ كورنثوس ١: ٢١-٢٢؛ أعمال الرسل ٢: ٣، ٢: ١٧؛ ١ كورنثوس ٦: ١٩؛ رومية ٨: ١٤؛ يوحنا ١٤: ٢٦؛ يوئيل ٢: ٢٨؛ مزمور ١١٩: ١٠٥؛ ٢ كورنثوس ٣: ٣؛ ١ كورنثوس ١٠: ٣-٤)</w:t>
            </w:r>
          </w:p>
        </w:tc>
        <w:tc>
          <w:tcPr>
            <w:tcW w:w="0" w:type="auto"/>
          </w:tcPr>
          <w:p w14:paraId="45BD574F" w14:textId="0F78BADA" w:rsidR="004509A2" w:rsidRPr="008C0C87" w:rsidRDefault="00392CDB" w:rsidP="001B72EA">
            <w:pPr>
              <w:rPr>
                <w:sz w:val="18"/>
                <w:szCs w:val="18"/>
              </w:rPr>
            </w:pPr>
            <w:r>
              <w:t>حزقيال 1: 5-14؛ حزقيال 2: 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المرحلة الخامسة: الاختبارات، البرية، التجارب</w:t>
            </w:r>
          </w:p>
        </w:tc>
        <w:tc>
          <w:tcPr>
            <w:tcW w:w="0" w:type="auto"/>
            <w:vAlign w:val="center"/>
            <w:hideMark/>
          </w:tcPr>
          <w:p w14:paraId="422998F4" w14:textId="77777777" w:rsidR="004509A2" w:rsidRPr="008C0C87" w:rsidRDefault="004509A2" w:rsidP="001B72EA">
            <w:pPr>
              <w:rPr>
                <w:sz w:val="18"/>
                <w:szCs w:val="18"/>
              </w:rPr>
            </w:pPr>
            <w:r>
              <w:t>خلق الكائنات البحرية/الوحوش والطيور (تكوين 1: 20-23)</w:t>
            </w:r>
          </w:p>
        </w:tc>
        <w:tc>
          <w:tcPr>
            <w:tcW w:w="0" w:type="auto"/>
            <w:vAlign w:val="center"/>
            <w:hideMark/>
          </w:tcPr>
          <w:p w14:paraId="50DDA7CD" w14:textId="77777777" w:rsidR="004509A2" w:rsidRPr="008C0C87" w:rsidRDefault="004509A2" w:rsidP="001B72EA">
            <w:pPr>
              <w:rPr>
                <w:sz w:val="18"/>
                <w:szCs w:val="18"/>
              </w:rPr>
            </w:pPr>
            <w:r>
              <w:t>اختبر موسى نفسه في البرية لمدة أربعين عامًا (خروج ١٦-٢٠؛ تثنية ٨: ٢؛ خروج ٣٢؛ ١ كورنثوس ١٠: ٣-١٥؛ مزمور ٩٥: ٨-١١).</w:t>
            </w:r>
          </w:p>
        </w:tc>
        <w:tc>
          <w:tcPr>
            <w:tcW w:w="0" w:type="auto"/>
            <w:vAlign w:val="center"/>
            <w:hideMark/>
          </w:tcPr>
          <w:p w14:paraId="627B312C" w14:textId="77777777" w:rsidR="004509A2" w:rsidRPr="008C0C87" w:rsidRDefault="004509A2" w:rsidP="001B72EA">
            <w:pPr>
              <w:rPr>
                <w:sz w:val="18"/>
                <w:szCs w:val="18"/>
              </w:rPr>
            </w:pPr>
            <w:r>
              <w:t>التيه في الصحراء/التجارب والاضطهادات (لوقا 4: 1-13؛ متى 24: 9؛ متى 4: 1-11؛ يوحنا 16: 33)</w:t>
            </w:r>
          </w:p>
        </w:tc>
        <w:tc>
          <w:tcPr>
            <w:tcW w:w="0" w:type="auto"/>
            <w:vAlign w:val="center"/>
            <w:hideMark/>
          </w:tcPr>
          <w:p w14:paraId="2B1A4CB0" w14:textId="0B669850" w:rsidR="004509A2" w:rsidRPr="008C0C87" w:rsidRDefault="004509A2" w:rsidP="001B72EA">
            <w:pPr>
              <w:rPr>
                <w:sz w:val="18"/>
                <w:szCs w:val="18"/>
              </w:rPr>
            </w:pPr>
            <w:r>
              <w:t>اختبروا، كونوا مستعدين، ثابروا، لا تتراجعوا (٢ كورنثوس ١٣: ١-١٠؛ ١ بطرس ١: ٦-٧؛ ملاخي ٣: ٢-٣؛ يعقوب ١: ٢-٤؛ إشعياء ٤٠: ٣١؛ ١ كورنثوس ١٠: ٣-١٥؛ يوحنا ٤: ١٣-١٤؛ ١ بطرس ٢: ٢٤)</w:t>
            </w:r>
          </w:p>
        </w:tc>
        <w:tc>
          <w:tcPr>
            <w:tcW w:w="0" w:type="auto"/>
          </w:tcPr>
          <w:p w14:paraId="62BE7113" w14:textId="08F423FA" w:rsidR="004509A2" w:rsidRPr="008C0C87" w:rsidRDefault="00FD76F0" w:rsidP="001B72EA">
            <w:pPr>
              <w:rPr>
                <w:sz w:val="18"/>
                <w:szCs w:val="18"/>
              </w:rPr>
            </w:pPr>
            <w:r>
              <w:t>متى 25: 1-13؛ متى 14: 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المرحلة السادسة: الخلق الجديد، العبور، القيامة، الختان، الدينونة</w:t>
            </w:r>
          </w:p>
        </w:tc>
        <w:tc>
          <w:tcPr>
            <w:tcW w:w="0" w:type="auto"/>
            <w:vAlign w:val="center"/>
            <w:hideMark/>
          </w:tcPr>
          <w:p w14:paraId="3CD4433C" w14:textId="77777777" w:rsidR="004509A2" w:rsidRPr="008C0C87" w:rsidRDefault="004509A2" w:rsidP="001B72EA">
            <w:pPr>
              <w:rPr>
                <w:sz w:val="18"/>
                <w:szCs w:val="18"/>
              </w:rPr>
            </w:pPr>
            <w:r>
              <w:t>الأرض تخرج الإنسان والحيوانات البرية (تكوين 1: 24-31)</w:t>
            </w:r>
          </w:p>
        </w:tc>
        <w:tc>
          <w:tcPr>
            <w:tcW w:w="0" w:type="auto"/>
            <w:vAlign w:val="center"/>
            <w:hideMark/>
          </w:tcPr>
          <w:p w14:paraId="3624213A" w14:textId="468D1D99" w:rsidR="004509A2" w:rsidRPr="008C0C87" w:rsidRDefault="004509A2" w:rsidP="001B72EA">
            <w:pPr>
              <w:rPr>
                <w:sz w:val="18"/>
                <w:szCs w:val="18"/>
              </w:rPr>
            </w:pPr>
            <w:r>
              <w:t>عبور نهر الأردن مع تابوت العهد. خُتن قبل الدخول (يشوع ٦: ١٢؛ يشوع ٧: ١-٢٦؛ يشوع ٣: ١٤-١٧؛ يشوع ٥: ٢-٩)</w:t>
            </w:r>
          </w:p>
        </w:tc>
        <w:tc>
          <w:tcPr>
            <w:tcW w:w="0" w:type="auto"/>
            <w:vAlign w:val="center"/>
            <w:hideMark/>
          </w:tcPr>
          <w:p w14:paraId="231B6C0A" w14:textId="77777777" w:rsidR="004509A2" w:rsidRPr="008C0C87" w:rsidRDefault="004509A2" w:rsidP="001B72EA">
            <w:pPr>
              <w:rPr>
                <w:sz w:val="18"/>
                <w:szCs w:val="18"/>
              </w:rPr>
            </w:pPr>
            <w:r>
              <w:t>الموت/القيامة (رومية 3: 25؛ كولوسي 1: 15-20؛ يوحنا 12: 31؛ متى 28: 18؛ متى 25: 31-46)</w:t>
            </w:r>
          </w:p>
        </w:tc>
        <w:tc>
          <w:tcPr>
            <w:tcW w:w="0" w:type="auto"/>
            <w:vAlign w:val="center"/>
            <w:hideMark/>
          </w:tcPr>
          <w:p w14:paraId="6E0C776C" w14:textId="77777777" w:rsidR="004509A2" w:rsidRPr="008C0C87" w:rsidRDefault="004509A2" w:rsidP="001B72EA">
            <w:pPr>
              <w:rPr>
                <w:sz w:val="18"/>
                <w:szCs w:val="18"/>
              </w:rPr>
            </w:pPr>
            <w:r>
              <w:t>الموت الثاني/القيامة: يجب أن يكون القلب مختونًا قبل الدخول (رؤيا ٢: ١١؛ ١ كورنثوس ٣: ١٢-١٥؛ رومية ٦: ١٢-١٤؛ ٢ كورنثوس ٥: ١٠؛ رومية ٨: ١؛ كولوسي ٢: ١١-١٣).</w:t>
            </w:r>
          </w:p>
        </w:tc>
        <w:tc>
          <w:tcPr>
            <w:tcW w:w="0" w:type="auto"/>
          </w:tcPr>
          <w:p w14:paraId="18508032" w14:textId="3AA53523" w:rsidR="004509A2" w:rsidRPr="008C0C87" w:rsidRDefault="00F945A1" w:rsidP="003619F4">
            <w:pPr>
              <w:rPr>
                <w:sz w:val="18"/>
                <w:szCs w:val="18"/>
              </w:rPr>
            </w:pPr>
            <w:r>
              <w:t>١ صموئيل ١٧: ٤؛ رؤيا ١٣: ١٨</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المرحلة السابعة: الراحة، الأرض الموعودة، المملكة، الإنجاز</w:t>
            </w:r>
          </w:p>
        </w:tc>
        <w:tc>
          <w:tcPr>
            <w:tcW w:w="0" w:type="auto"/>
            <w:vAlign w:val="center"/>
            <w:hideMark/>
          </w:tcPr>
          <w:p w14:paraId="0566ED9B" w14:textId="77777777" w:rsidR="004509A2" w:rsidRPr="008C0C87" w:rsidRDefault="004509A2" w:rsidP="001B72EA">
            <w:pPr>
              <w:rPr>
                <w:sz w:val="18"/>
                <w:szCs w:val="18"/>
              </w:rPr>
            </w:pPr>
            <w:r>
              <w:t>القداسة والراحة (تكوين ٢: ١-٣؛ عبرانيين ٣: ٧-٤: ١١)</w:t>
            </w:r>
          </w:p>
        </w:tc>
        <w:tc>
          <w:tcPr>
            <w:tcW w:w="0" w:type="auto"/>
            <w:vAlign w:val="center"/>
            <w:hideMark/>
          </w:tcPr>
          <w:p w14:paraId="58B5F447" w14:textId="77777777" w:rsidR="004509A2" w:rsidRPr="008C0C87" w:rsidRDefault="004509A2" w:rsidP="001B72EA">
            <w:pPr>
              <w:rPr>
                <w:sz w:val="18"/>
                <w:szCs w:val="18"/>
              </w:rPr>
            </w:pPr>
            <w:r>
              <w:t>الأرض الموعودة (يشوع ٢١: ٤٣-٤٥؛ عبرانيين ٣: ٧-٤: ١١؛ مزمور ٩٥: ٨-١١)</w:t>
            </w:r>
          </w:p>
        </w:tc>
        <w:tc>
          <w:tcPr>
            <w:tcW w:w="0" w:type="auto"/>
            <w:vAlign w:val="center"/>
            <w:hideMark/>
          </w:tcPr>
          <w:p w14:paraId="57691EA2" w14:textId="77777777" w:rsidR="004509A2" w:rsidRPr="008C0C87" w:rsidRDefault="004509A2" w:rsidP="001B72EA">
            <w:pPr>
              <w:rPr>
                <w:sz w:val="18"/>
                <w:szCs w:val="18"/>
              </w:rPr>
            </w:pPr>
            <w:r>
              <w:t>المملكة السماوية، يمين العرش (يوحنا 20: 17؛ أعمال الرسل 2: 31-35؛ أعمال الرسل 1: 9-11؛ يوحنا 14: 2-3؛ متى 11: 28؛ عبرانيين 3: 7-4: 11)</w:t>
            </w:r>
          </w:p>
        </w:tc>
        <w:tc>
          <w:tcPr>
            <w:tcW w:w="0" w:type="auto"/>
            <w:vAlign w:val="center"/>
            <w:hideMark/>
          </w:tcPr>
          <w:p w14:paraId="76C91AB2" w14:textId="77777777" w:rsidR="004509A2" w:rsidRPr="008C0C87" w:rsidRDefault="004509A2" w:rsidP="001B72EA">
            <w:pPr>
              <w:rPr>
                <w:sz w:val="18"/>
                <w:szCs w:val="18"/>
              </w:rPr>
            </w:pPr>
            <w:r>
              <w:t>المملكة السماوية لوقا 22: 25-30؛ عب 3: 7-4: 11؛ دان 12: 13</w:t>
            </w:r>
          </w:p>
        </w:tc>
        <w:tc>
          <w:tcPr>
            <w:tcW w:w="0" w:type="auto"/>
          </w:tcPr>
          <w:p w14:paraId="385C3C16" w14:textId="75BA08C9" w:rsidR="008E35D9" w:rsidRPr="008C0C87" w:rsidRDefault="008E35D9" w:rsidP="008E35D9">
            <w:pPr>
              <w:rPr>
                <w:sz w:val="18"/>
                <w:szCs w:val="18"/>
              </w:rPr>
            </w:pPr>
            <w:r>
              <w:t>اللاويين 25: 8-10</w:t>
            </w:r>
          </w:p>
          <w:p w14:paraId="6098D02A" w14:textId="10BACC3C" w:rsidR="005C6132" w:rsidRPr="008C0C87" w:rsidRDefault="005C6132" w:rsidP="005C6132">
            <w:pPr>
              <w:rPr>
                <w:sz w:val="18"/>
                <w:szCs w:val="18"/>
              </w:rPr>
            </w:pPr>
            <w:r>
              <w:t>٢ أخبار الأيام ٣٦:٢١</w:t>
            </w:r>
          </w:p>
          <w:p w14:paraId="2E120017" w14:textId="6A4B1F2D" w:rsidR="00B43A84" w:rsidRPr="008C0C87" w:rsidRDefault="00B43A84" w:rsidP="00B43A84">
            <w:pPr>
              <w:rPr>
                <w:sz w:val="18"/>
                <w:szCs w:val="18"/>
              </w:rPr>
            </w:pPr>
            <w:r>
              <w:t>يشوع 6: 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متعة الأرقام</w:t>
      </w:r>
    </w:p>
    <w:p w14:paraId="5AFB61A4" w14:textId="77777777" w:rsidR="00AA4055" w:rsidRPr="00AA4055" w:rsidRDefault="00AA4055" w:rsidP="00AA4055">
      <w:pPr>
        <w:rPr>
          <w:sz w:val="20"/>
          <w:szCs w:val="20"/>
        </w:rPr>
      </w:pPr>
      <w:r>
        <w:t>خلال فترة الاختبار والتجارب والتوفيق (أي المرحلة الخامسة) سنجد ما يلي:</w:t>
      </w:r>
    </w:p>
    <w:p w14:paraId="78DDBE6B" w14:textId="77777777" w:rsidR="00AA4055" w:rsidRPr="00AA4055" w:rsidRDefault="00AA4055" w:rsidP="00AA4055">
      <w:pPr>
        <w:numPr>
          <w:ilvl w:val="0"/>
          <w:numId w:val="4"/>
        </w:numPr>
        <w:rPr>
          <w:sz w:val="20"/>
          <w:szCs w:val="20"/>
        </w:rPr>
      </w:pPr>
      <w:r>
        <w:t>40 = (1+7)×5: كن أميناً وكن قديساً!</w:t>
      </w:r>
    </w:p>
    <w:p w14:paraId="6DDF1A03" w14:textId="77777777" w:rsidR="00AA4055" w:rsidRPr="00AA4055" w:rsidRDefault="00AA4055" w:rsidP="00AA4055">
      <w:pPr>
        <w:numPr>
          <w:ilvl w:val="0"/>
          <w:numId w:val="4"/>
        </w:numPr>
        <w:rPr>
          <w:sz w:val="20"/>
          <w:szCs w:val="20"/>
        </w:rPr>
      </w:pPr>
      <w:r>
        <w:t>40 = (2+6)×5: توب أو واجه الحساب</w:t>
      </w:r>
    </w:p>
    <w:p w14:paraId="22F5CAC5" w14:textId="77777777" w:rsidR="00AA4055" w:rsidRPr="00AA4055" w:rsidRDefault="00AA4055" w:rsidP="00AA4055">
      <w:pPr>
        <w:numPr>
          <w:ilvl w:val="0"/>
          <w:numId w:val="4"/>
        </w:numPr>
        <w:rPr>
          <w:sz w:val="20"/>
          <w:szCs w:val="20"/>
        </w:rPr>
      </w:pPr>
      <w:r>
        <w:t>٤٠ = (٣+٥)×٥: تعمّد واستعدّ وكن مستعدًا للاختبارات/المحاكمات</w:t>
      </w:r>
    </w:p>
    <w:p w14:paraId="4A70ADC6" w14:textId="77777777" w:rsidR="00AA4055" w:rsidRPr="00AA4055" w:rsidRDefault="00AA4055" w:rsidP="00AA4055">
      <w:pPr>
        <w:numPr>
          <w:ilvl w:val="0"/>
          <w:numId w:val="4"/>
        </w:numPr>
        <w:rPr>
          <w:sz w:val="20"/>
          <w:szCs w:val="20"/>
        </w:rPr>
      </w:pPr>
      <w:r>
        <w:t>40 = (4+4)×5: الروح القدس! الروح القدس!</w:t>
      </w:r>
    </w:p>
    <w:p w14:paraId="5FC76656" w14:textId="77777777" w:rsidR="00AA4055" w:rsidRPr="00AA4055" w:rsidRDefault="00AA4055" w:rsidP="00AA4055">
      <w:pPr>
        <w:rPr>
          <w:sz w:val="20"/>
          <w:szCs w:val="20"/>
        </w:rPr>
      </w:pPr>
      <w:r>
        <w:t>يستكشف هذا القسم بأسلوبٍ مرحٍ دلالة الرقم 40، الذي يظهر في زمن الاختبار (المرحلة 5) عبر الرحلات. ويشير إلى وجود روابط بين المراحل، ويشجع على التأمل في الاستخدام الرمزي للأرقام في النصوص المقدسة.</w:t>
      </w:r>
    </w:p>
    <w:p w14:paraId="7FADD02C" w14:textId="77777777" w:rsidR="00AA4055" w:rsidRPr="00AA4055" w:rsidRDefault="00AA4055" w:rsidP="0056079C">
      <w:pPr>
        <w:pStyle w:val="Heading1"/>
      </w:pPr>
      <w:r>
        <w:t>خاتمة</w:t>
      </w:r>
    </w:p>
    <w:p w14:paraId="4A182D82" w14:textId="77777777" w:rsidR="00AA4055" w:rsidRPr="00AA4055" w:rsidRDefault="00AA4055" w:rsidP="00AA4055">
      <w:pPr>
        <w:rPr>
          <w:sz w:val="20"/>
          <w:szCs w:val="20"/>
        </w:rPr>
      </w:pPr>
      <w:r>
        <w:t>من خلال ربط هذه الرحلات الأربع، نستطيع أن نرى السردية الشاملة لخطة الله للراحة والفداء. فمنذ الخلق وحتى رحلة المؤمن، تعكس كل مرحلة خطوة نحو راحة السبت الأبدية. وتؤكد أوجه التشابه بين هذه الرحلات ثبات غاية الله عبر التاريخ الكتابي، داعيةً إيانا إلى السعي لدخول تلك الراحة، كما هو مُشجع في عبرانيين 4: 11 (الترجمة العربية المشتركة): &amp;quot;فلنجتهد إذن في دخول تلك الراحة، لئلا يسقط أحدٌ باتباع مثال العصيان هذا&amp;quot;.</w:t>
      </w:r>
    </w:p>
    <w:p w14:paraId="5AA88265" w14:textId="6358DAD9" w:rsidR="00AA4055" w:rsidRDefault="00420FBF" w:rsidP="0056079C">
      <w:pPr>
        <w:pStyle w:val="Heading1"/>
      </w:pPr>
      <w:r>
        <w:t>إضافة:</w:t>
      </w:r>
    </w:p>
    <w:p w14:paraId="457D1FE9" w14:textId="1204C26F" w:rsidR="00420FBF" w:rsidRDefault="00420FBF">
      <w:pPr>
        <w:rPr>
          <w:sz w:val="20"/>
          <w:szCs w:val="20"/>
        </w:rPr>
      </w:pPr>
      <w:r>
        <w:t>دراسات محتملة في كل مرحلة. يمكنك الرجوع إلى عبرانيين 6: 1-2 وتقييم ما إذا كان يمكن اعتبارها &amp;quot;تعاليم أساسية&amp;quot;.</w:t>
      </w:r>
    </w:p>
    <w:p w14:paraId="5B75B640" w14:textId="1881C00C" w:rsidR="004C65A4" w:rsidRDefault="7F0FE7C9" w:rsidP="004C65A4">
      <w:pPr>
        <w:rPr>
          <w:sz w:val="20"/>
          <w:szCs w:val="20"/>
        </w:rPr>
      </w:pPr>
      <w:r>
        <w:t>المرحلة صفر: البحث عن الله، كلمة الله، النبوءة المسيانية، الطريق</w:t>
      </w:r>
    </w:p>
    <w:p w14:paraId="4951054F" w14:textId="1BFFFD37" w:rsidR="004C65A4" w:rsidRDefault="7F0FE7C9" w:rsidP="3DF68BCA">
      <w:pPr>
        <w:rPr>
          <w:sz w:val="20"/>
          <w:szCs w:val="20"/>
        </w:rPr>
      </w:pPr>
      <w:r>
        <w:t>المرحلة الأولى: الإيمان والطاعة والنعمة، رسالة الصليب، العهد القديم والعهد الجديد، يوم الغفران</w:t>
      </w:r>
    </w:p>
    <w:p w14:paraId="75002500" w14:textId="5BF90281" w:rsidR="00BB2A4C" w:rsidRDefault="00BB2A4C">
      <w:pPr>
        <w:rPr>
          <w:sz w:val="20"/>
          <w:szCs w:val="20"/>
        </w:rPr>
      </w:pPr>
      <w:r>
        <w:t>المرحلة الثانية: الخطيئة، الخطيئة الثانية، التوبة</w:t>
      </w:r>
    </w:p>
    <w:p w14:paraId="7442A594" w14:textId="0DDBC665" w:rsidR="00D72382" w:rsidRDefault="00D72382">
      <w:pPr>
        <w:rPr>
          <w:sz w:val="20"/>
          <w:szCs w:val="20"/>
        </w:rPr>
      </w:pPr>
      <w:r>
        <w:t>المرحلة الثالثة: المعمودية</w:t>
      </w:r>
    </w:p>
    <w:p w14:paraId="72F29451" w14:textId="678E510D" w:rsidR="00D72382" w:rsidRDefault="00D72382">
      <w:pPr>
        <w:rPr>
          <w:sz w:val="20"/>
          <w:szCs w:val="20"/>
        </w:rPr>
      </w:pPr>
      <w:r>
        <w:t>المرحلة الرابعة: الروح القدس</w:t>
      </w:r>
    </w:p>
    <w:p w14:paraId="566C01FB" w14:textId="3EEEACED" w:rsidR="00225E72" w:rsidRDefault="00225E72">
      <w:pPr>
        <w:rPr>
          <w:sz w:val="20"/>
          <w:szCs w:val="20"/>
        </w:rPr>
      </w:pPr>
      <w:r>
        <w:t>المرحلة الخامسة: الشركة، التلمذة، الكنيسة، الارتداد، الارتداد 2</w:t>
      </w:r>
    </w:p>
    <w:p w14:paraId="3D7198F0" w14:textId="013C26AF" w:rsidR="00225E72" w:rsidRDefault="5DF2330D">
      <w:pPr>
        <w:rPr>
          <w:sz w:val="20"/>
          <w:szCs w:val="20"/>
        </w:rPr>
      </w:pPr>
      <w:r>
        <w:t>المرحلة السادسة: الحكم.</w:t>
      </w:r>
    </w:p>
    <w:p w14:paraId="7F59ABAC" w14:textId="76FAEE9E" w:rsidR="0056079C" w:rsidRDefault="6FBEDA83">
      <w:pPr>
        <w:rPr>
          <w:sz w:val="20"/>
          <w:szCs w:val="20"/>
        </w:rPr>
      </w:pPr>
      <w:r>
        <w:t>المرحلة السابعة: المراحل السبع</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