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كنيسة</w:t>
      </w:r>
    </w:p>
    <w:p w14:paraId="336B84D0" w14:textId="77777777" w:rsidR="003A2E05" w:rsidRPr="003A2E05" w:rsidRDefault="003A2E05" w:rsidP="003A2E05">
      <w:r>
        <w:t>الهدف: إلهام وتعليم خطة الله للنجاح الروحي من خلال الالتزام الثابت بالكنيسة، جسد المسيح، كتعبير عن ملكوته الأبدي، واستخلاص الدروس من الكنائس السبع في سفر الرؤيا.</w:t>
      </w:r>
    </w:p>
    <w:p w14:paraId="3ED2E2D9" w14:textId="77777777" w:rsidR="003A2E05" w:rsidRPr="003A2E05" w:rsidRDefault="003A2E05" w:rsidP="008457A0">
      <w:pPr>
        <w:pStyle w:val="Heading1"/>
      </w:pPr>
      <w:r>
        <w:t>مقدمة</w:t>
      </w:r>
    </w:p>
    <w:p w14:paraId="3B557D04" w14:textId="77777777" w:rsidR="003A2E05" w:rsidRPr="003A2E05" w:rsidRDefault="003A2E05" w:rsidP="003A2E05">
      <w:r>
        <w:t>تُعرّف الكلمة اليونانية &amp;quot;إكليسيا&amp;quot; (ἐκκλησία)، والتي تعني &amp;quot;جماعة&amp;quot; أو &amp;quot;المدعوون&amp;quot;، الكنيسة بأنها جماعة الله المختارة، المُخصصة لأغراضه. وليست الكنيسة مجرد مؤسسة بشرية، بل هي كيان إلهي - جسد المسيح - جزء لا يتجزأ من ملكوت الله. الملكوت هو حكم الله السيادي، الذي بدأ بيسوع المسيح (مرقس 1: 15)، وهو حاضر في حياة المؤمنين (لوقا 17: 20-21)، وينتظر اكتماله عند عودته (رؤيا 11: 15). وتجسد الكنيسة، العالمية والمحلية، هذا الملكوت، عاكسةً إرادة الله من خلال التعبد والوحدة والرسالة. وتقدم الكنائس السبع المذكورة في سفر الرؤيا 2-3 - أفسس، سميرنا، برغامس، ثياتيرا، ساردس، فيلادلفيا، ولاودكية - أمثلة حية على الإخلاص والتقصير، تحث المؤمنين على التوافق مع خطة الله الأزلية.</w:t>
      </w:r>
    </w:p>
    <w:p w14:paraId="59A9E8A7" w14:textId="77777777" w:rsidR="003A2E05" w:rsidRPr="003A2E05" w:rsidRDefault="003A2E05" w:rsidP="008457A0">
      <w:pPr>
        <w:pStyle w:val="Heading1"/>
      </w:pPr>
      <w:r>
        <w:t>1. المعنى الكتابي لكلمة &amp;quot;كنيسة&amp;quot;</w:t>
      </w:r>
    </w:p>
    <w:p w14:paraId="664F4594" w14:textId="77777777" w:rsidR="003A2E05" w:rsidRPr="003A2E05" w:rsidRDefault="003A2E05" w:rsidP="003A2E05">
      <w:pPr>
        <w:rPr>
          <w:b/>
          <w:bCs/>
        </w:rPr>
      </w:pPr>
      <w:r>
        <w:t>أ. التعريف</w:t>
      </w:r>
    </w:p>
    <w:p w14:paraId="0A2D22B9" w14:textId="77777777" w:rsidR="003A2E05" w:rsidRPr="003A2E05" w:rsidRDefault="003A2E05" w:rsidP="003A2E05">
      <w:r>
        <w:t>يشير مصطلح إكليسيا (ἐκκλησία) إلى أولئك الذين دعاهم الله ليكونوا شعبه، متميزين عن العالم:</w:t>
      </w:r>
    </w:p>
    <w:p w14:paraId="0099D287" w14:textId="77777777" w:rsidR="003A2E05" w:rsidRPr="003A2E05" w:rsidRDefault="003A2E05" w:rsidP="003A2E05">
      <w:pPr>
        <w:numPr>
          <w:ilvl w:val="0"/>
          <w:numId w:val="7"/>
        </w:numPr>
      </w:pPr>
      <w:r>
        <w:t>الكنيسة الجامعة: هي الجماعة الجامعة لجميع المؤمنين المفديين عبر الزمان، الذين قُدِّر لهم أن يسكنوا مع الله في ملكوته (عبرانيين ١٢: ٢٢-٢٤، رؤيا ٧: ٩-١٠). هذه الكنيسة، التي تتجاوز الحدود الأرضية، تشمل جميع المخلصين بالإيمان بالمسيح (أفسس ١: ٢٢-٢٣).</w:t>
      </w:r>
    </w:p>
    <w:p w14:paraId="282E24D0" w14:textId="77777777" w:rsidR="003A2E05" w:rsidRPr="003A2E05" w:rsidRDefault="003A2E05" w:rsidP="003A2E05">
      <w:pPr>
        <w:numPr>
          <w:ilvl w:val="0"/>
          <w:numId w:val="7"/>
        </w:numPr>
      </w:pPr>
      <w:r>
        <w:t>الكنيسة المحلية: تجمعات محددة للمؤمنين المعمدين في منطقة جغرافية معينة، مكرسة لتعليم الرسل، والتواصل، وكسر الخبز، والصلاة (أعمال الرسل ٢: ٤١-٤٧). هذه تعبيرات مرئية عن الكنيسة الجامعة، تجسد مبادئ الملكوت.</w:t>
      </w:r>
    </w:p>
    <w:p w14:paraId="0D471A01" w14:textId="77777777" w:rsidR="003A2E05" w:rsidRPr="003A2E05" w:rsidRDefault="003A2E05" w:rsidP="008457A0">
      <w:pPr>
        <w:pStyle w:val="Heading1"/>
      </w:pPr>
      <w:r>
        <w:t>ب- رؤى كتابية</w:t>
      </w:r>
    </w:p>
    <w:p w14:paraId="7BBD608E" w14:textId="77777777" w:rsidR="003A2E05" w:rsidRPr="003A2E05" w:rsidRDefault="003A2E05" w:rsidP="003A2E05">
      <w:pPr>
        <w:numPr>
          <w:ilvl w:val="0"/>
          <w:numId w:val="8"/>
        </w:numPr>
      </w:pPr>
      <w:r>
        <w:t>الكنيسة الجامعة: أعلن يسوع: «سأبني كنيستي، ولن تقوى عليها أبواب الجحيم» (متى 16: 18). وتؤكد الكلمة اليونانية katischyō (κατισχύω، وتعني «ينتصر») على انتصار الكنيسة الأبدي من خلال قيامة المسيح. أسماء أعضائها مسجلة في السماء، جزء من ملكوت الله الذي لا يتزعزع (عبرانيين 12: 22-24).</w:t>
      </w:r>
    </w:p>
    <w:p w14:paraId="2B2E1505" w14:textId="77777777" w:rsidR="003A2E05" w:rsidRPr="003A2E05" w:rsidRDefault="003A2E05" w:rsidP="003A2E05">
      <w:pPr>
        <w:numPr>
          <w:ilvl w:val="0"/>
          <w:numId w:val="8"/>
        </w:numPr>
      </w:pPr>
      <w:r>
        <w:t>الكنيسة المحلية: تمارس الجماعات المحلية العبادة الجماعية والأسرار المقدسة (أعمال الرسل ٢: ٤٢). تشمل عبارة &amp;quot;كلاسيس تو أرتو&amp;quot; (κλάσις τοῦ ἄρτου، أي &amp;quot;كسر الخبز&amp;quot;) كلاً من الضيافة وعشاء الرب (كورنثوس الأولى ١١: ٢٣-٢٦). ومع انتشار الإنجيل، تكاثرت الكنائس المحلية (مثلاً، كورنثوس الأولى ١٦: ١٩)، وكل منها تعكس قيم الملكوت.</w:t>
      </w:r>
    </w:p>
    <w:p w14:paraId="21E93291" w14:textId="77777777" w:rsidR="003A2E05" w:rsidRPr="003A2E05" w:rsidRDefault="003A2E05" w:rsidP="008457A0">
      <w:pPr>
        <w:pStyle w:val="Heading1"/>
      </w:pPr>
      <w:r>
        <w:t>ج- الكنيسة والمملكة</w:t>
      </w:r>
    </w:p>
    <w:p w14:paraId="0A459EAD" w14:textId="77777777" w:rsidR="003A2E05" w:rsidRPr="003A2E05" w:rsidRDefault="003A2E05" w:rsidP="003A2E05">
      <w:r>
        <w:t>الكنيسة هي المظهر الحاضر لملكوت الله، حيث يُمارس حكمه من خلال المؤمنين (كولوسي 1: 13-14). إنها ليست كمال الملكوت الذي ينتظر عودة المسيح (رؤيا 21: 1-4)، بل هي جماعة تُختبر فيها سيادة الله. تُجسّد الكنائس السبع في سفر الرؤيا هذا المعنى: سميرنا وفيلادلفيا، اللتان مُدحتا لأمانتهما (بيستوس، πιστός)، تُمثلان التعبد للملكوت، بينما يُعرّض فتور لاودكية (خلياروس، χλιαρός) إلى خطر الرفض (رؤيا 3: 16).</w:t>
      </w:r>
    </w:p>
    <w:p w14:paraId="2BE4F697" w14:textId="77777777" w:rsidR="003A2E05" w:rsidRPr="003A2E05" w:rsidRDefault="003A2E05" w:rsidP="003A2E05">
      <w:pPr>
        <w:rPr>
          <w:b/>
          <w:bCs/>
        </w:rPr>
      </w:pPr>
      <w:r>
        <w:t>2. أوصاف مؤثرة للكنيسة</w:t>
      </w:r>
    </w:p>
    <w:p w14:paraId="09D4CAFC" w14:textId="77777777" w:rsidR="003A2E05" w:rsidRPr="003A2E05" w:rsidRDefault="003A2E05" w:rsidP="003A2E05">
      <w:r>
        <w:t>يستخدم الكتاب المقدس استعارات حية لتصوير دور الكنيسة في ملكوت الله (أفسس 2: 19-22):</w:t>
      </w:r>
    </w:p>
    <w:p w14:paraId="437BEE01" w14:textId="77777777" w:rsidR="003A2E05" w:rsidRPr="003A2E05" w:rsidRDefault="003A2E05" w:rsidP="003A2E05">
      <w:pPr>
        <w:numPr>
          <w:ilvl w:val="0"/>
          <w:numId w:val="9"/>
        </w:numPr>
      </w:pPr>
      <w:r>
        <w:t>بيت الله: المؤمنون عائلة واحدة، متحدون تحت رعاية الله الأب (١ تيموثاوس ٣: ١٥). وهذا يعكس وحدة العلاقات في الملكوت، كما يتضح في محبة أهل فيلادلفيا الثابتة (رؤيا ٣: ٩).</w:t>
      </w:r>
    </w:p>
    <w:p w14:paraId="046668A5" w14:textId="77777777" w:rsidR="003A2E05" w:rsidRPr="003A2E05" w:rsidRDefault="003A2E05" w:rsidP="003A2E05">
      <w:pPr>
        <w:numPr>
          <w:ilvl w:val="0"/>
          <w:numId w:val="9"/>
        </w:numPr>
      </w:pPr>
      <w:r>
        <w:t>بناء: مبني على الرسل والأنبياء، والمسيح هو حجر الزاوية (أفروس ٢: ٢٠). تتوافق قوة أفسس العقائدية مع هذا الأساس، إلا أن فقدانهم للمحبة الأولى يهدد استقرارهم (رؤيا ٢: ٤).</w:t>
      </w:r>
    </w:p>
    <w:p w14:paraId="67C931F8" w14:textId="77777777" w:rsidR="003A2E05" w:rsidRPr="003A2E05" w:rsidRDefault="003A2E05" w:rsidP="003A2E05">
      <w:pPr>
        <w:numPr>
          <w:ilvl w:val="0"/>
          <w:numId w:val="9"/>
        </w:numPr>
      </w:pPr>
      <w:r>
        <w:t>الهيكل المقدس: يسكن روح الله في الكنيسة (ناوس، ναός، الهيكل) (كورنثوس الأولى 3: 16-17). يعكس صمود سميرنا هذا المكان المقدس، بينما يدنسه موت ساردس الروحي (نيكروس، νεκρός) (رؤيا 3: 1).</w:t>
      </w:r>
    </w:p>
    <w:p w14:paraId="2C8EE17E" w14:textId="77777777" w:rsidR="003A2E05" w:rsidRPr="003A2E05" w:rsidRDefault="003A2E05" w:rsidP="003A2E05">
      <w:pPr>
        <w:numPr>
          <w:ilvl w:val="0"/>
          <w:numId w:val="9"/>
        </w:numPr>
      </w:pPr>
      <w:r>
        <w:t>جسد المسيح: المسيح، رأس الكنيسة (كولوسي 1: 18). ويعكس تنوع خدمة ثياتيرا هذا، إلا أن تسامحهم مع التعاليم الباطلة (ديداخي) يُزعزع وحدتهم (رؤيا 2: 20).</w:t>
      </w:r>
    </w:p>
    <w:p w14:paraId="006D75EB" w14:textId="77777777" w:rsidR="003A2E05" w:rsidRPr="003A2E05" w:rsidRDefault="003A2E05" w:rsidP="008457A0">
      <w:pPr>
        <w:pStyle w:val="Heading1"/>
      </w:pPr>
      <w:r>
        <w:t>3. الوحدة في الكنيسة</w:t>
      </w:r>
    </w:p>
    <w:p w14:paraId="0251755E" w14:textId="77777777" w:rsidR="003A2E05" w:rsidRPr="003A2E05" w:rsidRDefault="003A2E05" w:rsidP="003A2E05">
      <w:pPr>
        <w:rPr>
          <w:b/>
          <w:bCs/>
        </w:rPr>
      </w:pPr>
      <w:r>
        <w:t>أ. الكنيسة العالمية</w:t>
      </w:r>
    </w:p>
    <w:p w14:paraId="0A104516" w14:textId="77777777" w:rsidR="003A2E05" w:rsidRPr="003A2E05" w:rsidRDefault="003A2E05" w:rsidP="003A2E05">
      <w:r>
        <w:t>جميع المؤمنين يُعمَّدون في جسد واحد بروح واحد (كورنثوس الأولى ١٢: ١٢-١٣)، مما يعكس وحدة الملكوت (هينوتيس، ἑνότης) (أفسس ٤: ٤-٦). والكنيسة المتنوعة والمتحدة في آنٍ واحد في رؤيا ٧: ٩ تُحقق هذه الرؤية.</w:t>
      </w:r>
    </w:p>
    <w:p w14:paraId="2D3702DE" w14:textId="77777777" w:rsidR="003A2E05" w:rsidRPr="003A2E05" w:rsidRDefault="003A2E05" w:rsidP="003A2E05">
      <w:pPr>
        <w:rPr>
          <w:b/>
          <w:bCs/>
        </w:rPr>
      </w:pPr>
      <w:r>
        <w:t>ب. الكنيسة المحلية</w:t>
      </w:r>
    </w:p>
    <w:p w14:paraId="3275CDBF" w14:textId="77777777" w:rsidR="003A2E05" w:rsidRPr="003A2E05" w:rsidRDefault="003A2E05" w:rsidP="003A2E05">
      <w:pPr>
        <w:numPr>
          <w:ilvl w:val="0"/>
          <w:numId w:val="10"/>
        </w:numPr>
      </w:pPr>
      <w:r>
        <w:t>تتطلب الوحدة التوافق مع الكتاب المقدس (phroneō، φρονέω، &amp;quot;نفس الفكر&amp;quot;) (كورنثوس الأولى 1:10). تسبب تسامح برغامس مع تعاليم بلعام (krateō didachē، κρατέω διδαχή) في الانقسام، مما يدل على الحاجة إلى الالتزام بالكتاب المقدس (رؤيا 2:14).</w:t>
      </w:r>
    </w:p>
    <w:p w14:paraId="6C62E39D" w14:textId="77777777" w:rsidR="003A2E05" w:rsidRPr="003A2E05" w:rsidRDefault="003A2E05" w:rsidP="003A2E05">
      <w:pPr>
        <w:numPr>
          <w:ilvl w:val="0"/>
          <w:numId w:val="10"/>
        </w:numPr>
      </w:pPr>
      <w:r>
        <w:t>تُفتت الانقسامات (الشقاق، σχίσμα) جسد الكنيسة، كما هو موضح في رسالة كورنثوس الأولى (كورنثوس الأولى 1: 12-13). وتعكس وحدة الكنيسة انسجام الملكوت تحت سيادة المسيح.</w:t>
      </w:r>
    </w:p>
    <w:p w14:paraId="28C2E5F6" w14:textId="77777777" w:rsidR="003A2E05" w:rsidRPr="003A2E05" w:rsidRDefault="003A2E05" w:rsidP="008457A0">
      <w:pPr>
        <w:pStyle w:val="Heading1"/>
      </w:pPr>
      <w:r>
        <w:t>4. تقييم الكنائس السبع</w:t>
      </w:r>
    </w:p>
    <w:p w14:paraId="57FCE5CF" w14:textId="0BBAF85C" w:rsidR="003A2E05" w:rsidRPr="003A2E05" w:rsidRDefault="003A2E05" w:rsidP="003A2E05">
      <w:r>
        <w:t>تُقدّم الرسائل إلى الكنائس السبع في سفر الرؤيا (٢-٣) تقييمًا واقعيًا لحالتها الروحية، مُقدّمةً دروسًا للكنيسة اليوم. فيما يلي تقييمٌ لمدى إخلاص كل كنيسة لملكوت الله، مع درجات تقديرية تعكس رضا يسوع والنسبة المئوية المُقدّرة للأعضاء الذين يُحتمل أن يكونوا قد نالوا الخلاص في حالتهم الراهنة، استنادًا إلى النص اليوناني:</w:t>
      </w:r>
    </w:p>
    <w:p w14:paraId="1C090F11" w14:textId="77777777" w:rsidR="003A2E05" w:rsidRPr="003A2E05" w:rsidRDefault="003A2E05" w:rsidP="003A2E05">
      <w:pPr>
        <w:numPr>
          <w:ilvl w:val="0"/>
          <w:numId w:val="11"/>
        </w:numPr>
      </w:pPr>
      <w:r>
        <w:t xml:space="preserve">أفسس (رؤيا ٢: ١-٧) </w:t>
      </w:r>
    </w:p>
    <w:p w14:paraId="2293C2FD" w14:textId="29DB18C1" w:rsidR="003A2E05" w:rsidRDefault="003A2E05" w:rsidP="003A2E05">
      <w:pPr>
        <w:numPr>
          <w:ilvl w:val="1"/>
          <w:numId w:val="11"/>
        </w:numPr>
      </w:pPr>
      <w:r>
        <w:t>التقييم: أُثني عليه لرفضه الرسل الكذبة وكراهيته لأفعال النيقولاويين، لكنه وُبِّخ لتخليه عن محبته الأولى (أغابي بروتي) - ذلك الولاء الشديد للمسيح الذي تحول إلى مجرد عقيدة جامدة. يشير الأمر &amp;quot;توبوا&amp;quot; (ميتانويسون) إلى ضرورة التوبة العاجلة، وإلا سيُزال المنارة (رؤيا ٢: ٥).</w:t>
      </w:r>
    </w:p>
    <w:p w14:paraId="664E2735" w14:textId="77777777" w:rsidR="002A43EB" w:rsidRPr="002A43EB" w:rsidRDefault="008275EB" w:rsidP="00BD430F">
      <w:pPr>
        <w:numPr>
          <w:ilvl w:val="1"/>
          <w:numId w:val="11"/>
        </w:numPr>
      </w:pPr>
      <w:r>
        <w:t>العناصر والتفسيرات الغامضة:</w:t>
      </w:r>
    </w:p>
    <w:p w14:paraId="37D58E47" w14:textId="70A06FC0" w:rsidR="00BD430F" w:rsidRPr="00BD430F" w:rsidRDefault="0052404B" w:rsidP="0052404B">
      <w:pPr>
        <w:numPr>
          <w:ilvl w:val="2"/>
          <w:numId w:val="11"/>
        </w:numPr>
      </w:pPr>
      <w:r>
        <w:t>النيقولاويون: يظهر النيقولاويون هنا وفي برغامس (رؤيا ٢: ٦، ١٥). ومن التفسيرات المحتملة ما يلي:</w:t>
      </w:r>
    </w:p>
    <w:p w14:paraId="16C01BBA" w14:textId="77777777" w:rsidR="00BD430F" w:rsidRPr="00BD430F" w:rsidRDefault="00BD430F" w:rsidP="0052404B">
      <w:pPr>
        <w:numPr>
          <w:ilvl w:val="3"/>
          <w:numId w:val="11"/>
        </w:numPr>
      </w:pPr>
      <w:r>
        <w:t>الهيمنة الهرمية (الرأي الأكثر شيوعًا): من اليونانية nikao (&amp;quot;للتغلب/التغلب&amp;quot;) + laos (&amp;quot;الشعب/العلمانيين&amp;quot;)، كانوا قادة متعطشين للسلطة يحاولون إقامة انقسام بين رجال الدين والعلمانيين، ويسيطرون على المؤمنين العاديين بدلاً من العمل على قدم المساواة (متناقض مع متى 20:25-26 و 1 بطرس 5:3).</w:t>
      </w:r>
    </w:p>
    <w:p w14:paraId="49B9F142" w14:textId="77777777" w:rsidR="00D90E03" w:rsidRDefault="00BD430F" w:rsidP="0052404B">
      <w:pPr>
        <w:numPr>
          <w:ilvl w:val="3"/>
          <w:numId w:val="11"/>
        </w:numPr>
      </w:pPr>
      <w:r>
        <w:t>التنازل الأخلاقي/اللاأخلاقية: تربط تقاليد الكنيسة الأولى هذه الظاهرة بنيقولاوس، أحد الشمامسة السبعة الذين اختيروا في سفر أعمال الرسل 6: 5 (رجل &amp;quot;ممتلئ إيمانًا وروحًا قدسًا&amp;quot;). قال بعض الآباء (مثل إيريناوس) إن نيكولاس أو أتباعه انحرفوا إلى تعليم أن المسيحيين يمكنهم الانغماس بحرية في عبادة الأصنام والفجور الجنسي لأن النعمة تغطي الجسد بينما يبقى الروح طاهرًا، محولين الحرية إلى فوضى. هذا &amp;quot;التجاوز&amp;quot; للحدود الأخلاقية فتح الباب أمام التنازلات الوثنية. يكره يسوع أفعالهم (لا يكرهها فحسب)، ويجدها مقيتة، لأنها تُدمر المساواة (المساواة أمام المسيح) في الجسد وتدعو إلى الخطايا التي تُفسد الكنيسة بأكملها (كورنثوس الأولى 5: 6).</w:t>
      </w:r>
    </w:p>
    <w:p w14:paraId="6424304D" w14:textId="77777777" w:rsidR="005E7EAC" w:rsidRDefault="00D90E03" w:rsidP="00D90E03">
      <w:pPr>
        <w:numPr>
          <w:ilvl w:val="2"/>
          <w:numId w:val="11"/>
        </w:numPr>
      </w:pPr>
      <w:r>
        <w:t>المنارة: يسير يسوع بين المنارات (٢:١). ترمز المنارة (lychnia، λυχνία) إلى الكنيسة نفسها (رؤيا ١:٢٠). إزالتها تعني أن يسوع لم يعد يعترف بتلك الجماعة المحلية تحديدًا ككنيسة شرعية تحمل النور في ملكوته. قد تستمر الكنيسة ظاهريًا، لكن وضعها الجماعي وشهادتها كموقع متقدم للمسيح يُلغى - ينطفئ نورها أو يُنقل. هذا يُذكّر بمنارة خيمة الاجتماع (خروج ٢٥:٣١-٤٠) واستعداد العذارى العشر (متى ٢٥:١-١٣). فقدان &amp;quot;المحبة الأولى&amp;quot; يُنذر بالانجراف نفسه الذي حُذّر منه في عبرانيين ٢:١.</w:t>
      </w:r>
    </w:p>
    <w:p w14:paraId="43A89A1D" w14:textId="1A4F029E" w:rsidR="008275EB" w:rsidRPr="003A2E05" w:rsidRDefault="00BD430F" w:rsidP="00D90E03">
      <w:pPr>
        <w:numPr>
          <w:ilvl w:val="2"/>
          <w:numId w:val="11"/>
        </w:numPr>
      </w:pPr>
      <w:r>
        <w:t>مكافآت للمنتصرين: الوصول إلى &amp;quot;شجرة الحياة&amp;quot; (صدى سفر التكوين 3).</w:t>
      </w:r>
    </w:p>
    <w:p w14:paraId="19AC2626" w14:textId="10339086" w:rsidR="003A2E05" w:rsidRPr="003A2E05" w:rsidRDefault="00B822C8" w:rsidP="003A2E05">
      <w:pPr>
        <w:numPr>
          <w:ilvl w:val="1"/>
          <w:numId w:val="11"/>
        </w:numPr>
      </w:pPr>
      <w:r>
        <w:t xml:space="preserve">النتيجة التقديرية: 45/100 - عقيدة قوية ولكنها تفتقر إلى الإخلاص. </w:t>
      </w:r>
    </w:p>
    <w:p w14:paraId="7C404928" w14:textId="3106BF3F" w:rsidR="003A2E05" w:rsidRPr="003A2E05" w:rsidRDefault="00B822C8" w:rsidP="003A2E05">
      <w:pPr>
        <w:numPr>
          <w:ilvl w:val="1"/>
          <w:numId w:val="11"/>
        </w:numPr>
      </w:pPr>
      <w:r>
        <w:t>النسبة المئوية المقدرة للوفورات: 40% - يخاطر الكثيرون بفقدان مكانتهم دون توبة.</w:t>
      </w:r>
    </w:p>
    <w:p w14:paraId="49437D11" w14:textId="77777777" w:rsidR="003A2E05" w:rsidRPr="003A2E05" w:rsidRDefault="003A2E05" w:rsidP="003A2E05">
      <w:pPr>
        <w:numPr>
          <w:ilvl w:val="0"/>
          <w:numId w:val="11"/>
        </w:numPr>
      </w:pPr>
      <w:r>
        <w:t xml:space="preserve">سميرنا (رؤيا 2: 8-11) </w:t>
      </w:r>
    </w:p>
    <w:p w14:paraId="3D21C0A1" w14:textId="44CD07D1" w:rsidR="003A2E05" w:rsidRDefault="003A2E05" w:rsidP="003A2E05">
      <w:pPr>
        <w:numPr>
          <w:ilvl w:val="1"/>
          <w:numId w:val="11"/>
        </w:numPr>
      </w:pPr>
      <w:r>
        <w:t>التقييم: أثنى عليه لتحمله الاضطهاد (thlipsis، θlectῖψις)، دون توبيخ. حث على أن يكون بيستوس آخري ثاناتو (πιστός ἄχρι θανάτου، أمينًا حتى الموت) (رؤيا 2: 10).</w:t>
      </w:r>
    </w:p>
    <w:p w14:paraId="26BFD7BA" w14:textId="5CB03E04" w:rsidR="00BF14A8" w:rsidRPr="003A2E05" w:rsidRDefault="00BF14A8" w:rsidP="003A2E05">
      <w:pPr>
        <w:numPr>
          <w:ilvl w:val="1"/>
          <w:numId w:val="11"/>
        </w:numPr>
      </w:pPr>
      <w:r>
        <w:t>عناصر غامضة: يشير مصطلح &amp;quot;مجمع الشيطان&amp;quot; إلى مدّعين كاذبين يفتريون على المؤمنين (رومية ٢: ٢٨-٢٩). المكافأة: &amp;quot;إكليل الحياة&amp;quot; (يعقوب ١: ١٢).</w:t>
      </w:r>
    </w:p>
    <w:p w14:paraId="52E7B6F4" w14:textId="0D12ECBC" w:rsidR="003A2E05" w:rsidRPr="003A2E05" w:rsidRDefault="00B822C8" w:rsidP="003A2E05">
      <w:pPr>
        <w:numPr>
          <w:ilvl w:val="1"/>
          <w:numId w:val="11"/>
        </w:numPr>
      </w:pPr>
      <w:r>
        <w:t xml:space="preserve">النتيجة التقديرية: 95/100 - دقة شبه مثالية. </w:t>
      </w:r>
    </w:p>
    <w:p w14:paraId="1E62A002" w14:textId="37033E7E" w:rsidR="003A2E05" w:rsidRPr="003A2E05" w:rsidRDefault="00B822C8" w:rsidP="003A2E05">
      <w:pPr>
        <w:numPr>
          <w:ilvl w:val="1"/>
          <w:numId w:val="11"/>
        </w:numPr>
      </w:pPr>
      <w:r>
        <w:t>النسبة المئوية المقدرة للوفورات: 95% - معظمهم في وضع جيد.</w:t>
      </w:r>
    </w:p>
    <w:p w14:paraId="48A13FBF" w14:textId="77777777" w:rsidR="003A2E05" w:rsidRPr="003A2E05" w:rsidRDefault="003A2E05" w:rsidP="003A2E05">
      <w:pPr>
        <w:numPr>
          <w:ilvl w:val="0"/>
          <w:numId w:val="11"/>
        </w:numPr>
      </w:pPr>
      <w:r>
        <w:t xml:space="preserve">برغامس (رؤيا 2: 12-17) </w:t>
      </w:r>
    </w:p>
    <w:p w14:paraId="6D17661D" w14:textId="77777777" w:rsidR="003A2E05" w:rsidRDefault="003A2E05" w:rsidP="003A2E05">
      <w:pPr>
        <w:numPr>
          <w:ilvl w:val="1"/>
          <w:numId w:val="11"/>
        </w:numPr>
      </w:pPr>
      <w:r>
        <w:t xml:space="preserve">التقييم: مؤمن في بيئة معادية ولكنه تعرض للانتقاد بسبب krateō didachē (κρατέω διδαχή، أي التمسك بتعاليم خاطئة) (رؤيا 2:14). </w:t>
      </w:r>
    </w:p>
    <w:p w14:paraId="3E4A7D43" w14:textId="77777777" w:rsidR="00300C29" w:rsidRDefault="00A92241" w:rsidP="00A92241">
      <w:pPr>
        <w:numPr>
          <w:ilvl w:val="1"/>
          <w:numId w:val="11"/>
        </w:numPr>
      </w:pPr>
      <w:r>
        <w:t>العناصر والخطايا الخفية:</w:t>
      </w:r>
    </w:p>
    <w:p w14:paraId="0FFD6FCD" w14:textId="77777777" w:rsidR="00300C29" w:rsidRDefault="00A92241" w:rsidP="00300C29">
      <w:pPr>
        <w:numPr>
          <w:ilvl w:val="2"/>
          <w:numId w:val="11"/>
        </w:numPr>
      </w:pPr>
      <w:r>
        <w:t>يشير &amp;quot;عرش الشيطان&amp;quot; إلى معاقل الوثنية/الإمبراطورية (أفسس 6:12).</w:t>
      </w:r>
    </w:p>
    <w:p w14:paraId="08CE32D9" w14:textId="77777777" w:rsidR="00300C29" w:rsidRDefault="00A92241" w:rsidP="00300C29">
      <w:pPr>
        <w:numPr>
          <w:ilvl w:val="2"/>
          <w:numId w:val="11"/>
        </w:numPr>
      </w:pPr>
      <w:r>
        <w:t>تضمنت &amp;quot;تعاليم بلعام&amp;quot; (سفر العدد ٢٢-٢٥، ٣١) إغواء بني إسرائيل إلى عبادة الأصنام والفجور الجنسي في بعل فغور (سفر العدد ٢٥: ١-٩) - أكل الطعام الذي قُدِّمَ قربانًا للأصنام وارتكاب الزنا (الجنس غير المشروع، بما في ذلك البغاء الطقوسي). وهذا يُطابق تمامًا أعمال الجسد (غلاطية ٥: ١٩-٢١: الزنا، عبادة الأصنام) التي، إن لم تُتَب عنها، تحرم من ميراث الملكوت (كورنثوس الأولى ٦: ٩-١٠؛ رؤيا ٢١: ٨ تُشير إلى &amp;quot;الزناة... عبدة الأصنام&amp;quot; في بحيرة النار) وتنتشر كالخميرة، مُعرِّضةً المجتمع لخطر الارتداد (كورنثوس الأولى ٥: ٦-١٣: &amp;quot;طهِّروا الإنسان الشرير&amp;quot;).</w:t>
      </w:r>
    </w:p>
    <w:p w14:paraId="261C9303" w14:textId="2AC8E177" w:rsidR="005E7EAC" w:rsidRDefault="00A92241" w:rsidP="00300C29">
      <w:pPr>
        <w:numPr>
          <w:ilvl w:val="2"/>
          <w:numId w:val="11"/>
        </w:numPr>
      </w:pPr>
      <w:r>
        <w:t>ترتبط تعاليم النيقولاويين بهذا السياق، حيث تمزج بين الهيمنة والتساهل الأخلاقي. انظر أيضًا أفسس.</w:t>
      </w:r>
    </w:p>
    <w:p w14:paraId="54FF4A07" w14:textId="32168C99" w:rsidR="00A92241" w:rsidRPr="003A2E05" w:rsidRDefault="00A92241" w:rsidP="00300C29">
      <w:pPr>
        <w:numPr>
          <w:ilvl w:val="2"/>
          <w:numId w:val="11"/>
        </w:numPr>
      </w:pPr>
      <w:r>
        <w:t>مكافآت المنتصرين: &amp;quot;المن الخفي&amp;quot; و&amp;quot;الحجر الأبيض&amp;quot; (إشعياء 62:2).</w:t>
      </w:r>
    </w:p>
    <w:p w14:paraId="35B55DAC" w14:textId="58C1FD49" w:rsidR="003A2E05" w:rsidRPr="003A2E05" w:rsidRDefault="00B822C8" w:rsidP="003A2E05">
      <w:pPr>
        <w:numPr>
          <w:ilvl w:val="1"/>
          <w:numId w:val="11"/>
        </w:numPr>
      </w:pPr>
      <w:r>
        <w:t xml:space="preserve">النتيجة التقديرية: 35/100 - مشوب بالهرطقة. </w:t>
      </w:r>
    </w:p>
    <w:p w14:paraId="09D76222" w14:textId="003E1E10" w:rsidR="003A2E05" w:rsidRPr="003A2E05" w:rsidRDefault="00B822C8" w:rsidP="003A2E05">
      <w:pPr>
        <w:numPr>
          <w:ilvl w:val="1"/>
          <w:numId w:val="11"/>
        </w:numPr>
      </w:pPr>
      <w:r>
        <w:t>النسبة المئوية المقدرة للوفورات: 30% - ينحرف الكثيرون عن الطريق الصحيح.</w:t>
      </w:r>
    </w:p>
    <w:p w14:paraId="26DC733E" w14:textId="77777777" w:rsidR="003A2E05" w:rsidRPr="003A2E05" w:rsidRDefault="003A2E05" w:rsidP="003A2E05">
      <w:pPr>
        <w:numPr>
          <w:ilvl w:val="0"/>
          <w:numId w:val="11"/>
        </w:numPr>
      </w:pPr>
      <w:r>
        <w:t xml:space="preserve">ثياتيرا (رؤيا 2: 18-29) </w:t>
      </w:r>
    </w:p>
    <w:p w14:paraId="723DD089" w14:textId="125F2F13" w:rsidR="003A2E05" w:rsidRDefault="003A2E05" w:rsidP="003A2E05">
      <w:pPr>
        <w:numPr>
          <w:ilvl w:val="1"/>
          <w:numId w:val="11"/>
        </w:numPr>
      </w:pPr>
      <w:r>
        <w:t>التقييم: اشتهر بالحب والخدمة، لكنه أُدين لسماحه لإيزابيل (Ἰεζάβελ)، مما أدى إلى الفساد الأخلاقي. وبقي بقية مؤمنة (λοιποί، البقية) (رؤيا ٢: ٢٤).</w:t>
      </w:r>
    </w:p>
    <w:p w14:paraId="204A1543" w14:textId="77777777" w:rsidR="00D36323" w:rsidRDefault="004928CE" w:rsidP="003A2E05">
      <w:pPr>
        <w:numPr>
          <w:ilvl w:val="1"/>
          <w:numId w:val="11"/>
        </w:numPr>
      </w:pPr>
      <w:r>
        <w:t>العناصر والخطايا الخفية:</w:t>
      </w:r>
    </w:p>
    <w:p w14:paraId="40555674" w14:textId="77777777" w:rsidR="00D36323" w:rsidRDefault="004928CE" w:rsidP="00D36323">
      <w:pPr>
        <w:numPr>
          <w:ilvl w:val="2"/>
          <w:numId w:val="11"/>
        </w:numPr>
      </w:pPr>
      <w:r>
        <w:t>يستحضر اسم &amp;quot;إيزابل&amp;quot; صورة ملكة العهد القديم التي روجت لعبادة بعل، وعبادة الأصنام، والبغاء المقدس (١ ملوك ١٦: ٣١-٣٢؛ ٢ ملوك ٩) - أي الزنا الروحي والفجور. في ثقافة نقابات ثياتيرا، كان هذا يعني المشاركة في ولائم الوثنيين لأغراض تجارية (طعام الأصنام + الفجور). وهذا هو نفسه الفجور وعبادة الأصنام اللذان حُذِّر منهما باعتبارهما من أعمال الجسد (غلاطية ٥: ١٩-٢١) وخطايا تُقصي من الملكوت (١ كورنثوس ٦: ٩-١٠؛ رؤيا ٢١: ٨).</w:t>
      </w:r>
    </w:p>
    <w:p w14:paraId="7B3FC537" w14:textId="77777777" w:rsidR="00A76967" w:rsidRDefault="004928CE" w:rsidP="00D36323">
      <w:pPr>
        <w:numPr>
          <w:ilvl w:val="2"/>
          <w:numId w:val="11"/>
        </w:numPr>
      </w:pPr>
      <w:r>
        <w:t>إنّ عبارة &amp;quot;أعماق الشيطان&amp;quot; تتناقض بشكلٍ ساخر مع العمق الحقيقي في الله (كورنثوس الأولى ٢: ١٠). فمثل هذه الخطايا، إن لم تُتَب، تُؤدّي إلى الارتداد عن طريق روح الضلال (يهوذا ١: ٤؛ تيموثاوس الأولى ٤: ١).</w:t>
      </w:r>
    </w:p>
    <w:p w14:paraId="05B832B8" w14:textId="38A3B411" w:rsidR="004928CE" w:rsidRPr="003A2E05" w:rsidRDefault="004928CE" w:rsidP="00D36323">
      <w:pPr>
        <w:numPr>
          <w:ilvl w:val="2"/>
          <w:numId w:val="11"/>
        </w:numPr>
      </w:pPr>
      <w:r>
        <w:t>المكافآت: السلطة على الأمم (المزمور 2) و&amp;quot;نجم الصباح&amp;quot;.</w:t>
      </w:r>
    </w:p>
    <w:p w14:paraId="48760EC1" w14:textId="24F08C50" w:rsidR="003A2E05" w:rsidRPr="003A2E05" w:rsidRDefault="00B822C8" w:rsidP="003A2E05">
      <w:pPr>
        <w:numPr>
          <w:ilvl w:val="1"/>
          <w:numId w:val="11"/>
        </w:numPr>
      </w:pPr>
      <w:r>
        <w:t xml:space="preserve">النتيجة التقديرية: 30/100 - فشل أخلاقي خطير. </w:t>
      </w:r>
    </w:p>
    <w:p w14:paraId="7420ED08" w14:textId="195B6C68" w:rsidR="003A2E05" w:rsidRPr="003A2E05" w:rsidRDefault="00B822C8" w:rsidP="003A2E05">
      <w:pPr>
        <w:numPr>
          <w:ilvl w:val="1"/>
          <w:numId w:val="11"/>
        </w:numPr>
      </w:pPr>
      <w:r>
        <w:t>النسبة المئوية المقدرة للادخار: 25% - فقط أقلية تبقى وفية.</w:t>
      </w:r>
    </w:p>
    <w:p w14:paraId="2E3253D4" w14:textId="77777777" w:rsidR="003A2E05" w:rsidRPr="003A2E05" w:rsidRDefault="003A2E05" w:rsidP="003A2E05">
      <w:pPr>
        <w:numPr>
          <w:ilvl w:val="0"/>
          <w:numId w:val="11"/>
        </w:numPr>
      </w:pPr>
      <w:r>
        <w:t xml:space="preserve">ساردس (رؤيا 3: 1-6) </w:t>
      </w:r>
    </w:p>
    <w:p w14:paraId="5BC6B2AC" w14:textId="1EE97676" w:rsidR="003A2E05" w:rsidRDefault="003A2E05" w:rsidP="003A2E05">
      <w:pPr>
        <w:numPr>
          <w:ilvl w:val="1"/>
          <w:numId w:val="11"/>
        </w:numPr>
      </w:pPr>
      <w:r>
        <w:t>التقييم: يُدعى نيكروس (νεκρός، ميت)، مع أوليجا أونوماتا فقط (ὀlectίγα ὀνόματα، أسماء قليلة) مؤمن (رؤيا 3: 1، 4).</w:t>
      </w:r>
    </w:p>
    <w:p w14:paraId="7A143BAD" w14:textId="77777777" w:rsidR="00D031C8" w:rsidRDefault="00D031C8" w:rsidP="00D031C8">
      <w:pPr>
        <w:numPr>
          <w:ilvl w:val="1"/>
          <w:numId w:val="11"/>
        </w:numPr>
      </w:pPr>
      <w:r>
        <w:t>عناصر غامضة وشرح موسع:</w:t>
      </w:r>
    </w:p>
    <w:p w14:paraId="220785D2" w14:textId="77777777" w:rsidR="007E4C5B" w:rsidRDefault="00D031C8" w:rsidP="00D031C8">
      <w:pPr>
        <w:numPr>
          <w:ilvl w:val="2"/>
          <w:numId w:val="11"/>
        </w:numPr>
      </w:pPr>
      <w:r>
        <w:t>كانت ساردس مدينة عريقة، عظيمة في يوم من الأيام، ذات تاريخ حافل، وعاصمة الإمبراطورية الليدية في عهد كرويسوس (المشهور بثروته)، لكنها تدهورت بشكل ملحوظ في العصر الروماني. سقطت مرتين في تاريخها بسبب الغرور: الأولى على يد كورش الفارسي (547 ق.م.) عندما غفل المدافعون عنها، ثم سقطت مرة أخرى لاحقًا. بُنيت المدينة على تلة شديدة الانحدار بأسوار تبدو منيعة، ومع ذلك كانت عرضة للخطر بسبب التراخي، إذ اعتمد الناس على سمعتهم ومجدهم السابق بدلًا من اليقظة. يستخدم يسوع هذا التاريخ ضد الكنيسة قائلًا: &amp;quot;لكم سمعة أنكم أحياء، ولكنكم أموات&amp;quot; (الآية 1).</w:t>
      </w:r>
    </w:p>
    <w:p w14:paraId="7952256E" w14:textId="54357648" w:rsidR="007E4C5B" w:rsidRDefault="00D031C8" w:rsidP="00D031C8">
      <w:pPr>
        <w:numPr>
          <w:ilvl w:val="2"/>
          <w:numId w:val="11"/>
        </w:numPr>
      </w:pPr>
      <w:r>
        <w:t>مثل المدينة، اعتمدت كنيسة ساردس على سمعتها السابقة - ربما حماسها المبكر أو أعضائها البارزين - بينما كانت روحانيتها خاوية. كانت &amp;quot;أعمالهم&amp;quot; &amp;quot;ناقصة&amp;quot; أمام الله (الآية 2)، أي غير مكتملة، أو مترددة، أو نفاقية - نشاط ظاهري بلا جوهر داخلي. ترمز &amp;quot;الثياب المتسخة&amp;quot; (الآية 4) إلى التدنيس الناتج عن التنازلات أو الإهمال - ملطخة بالدنيا، غير لائقة بالملك (قارن بـ&amp;quot;الثياب البيضاء&amp;quot; التي ترمز إلى الطهارة ومجد القيامة الممنوحة لبقية المؤمنين). إن شهرة المدينة في صباغة الصوف الفاخر (كانت الثياب البيضاء ثمينة) تجعل المفارقة أكثر وضوحًا: كان لديهم مادة &amp;quot;بيضاء&amp;quot; لكنهم متسخون روحيًا. يتردد صدى التحذير في دعوات العهد القديم إلى اليقظة: &amp;quot;استيقظوا!&amp;quot; (الآية 3) تذكرنا بسقوط ساردس التاريخي بسبب النعاس، ويقول يسوع إنه سيأتي مثل اللص (انظر 1 تسالونيكي 5:2-4؛ متى 24:43) - حكم غير متوقع على غير المستعدين.</w:t>
      </w:r>
    </w:p>
    <w:p w14:paraId="265EC9AD" w14:textId="5CEFDF30" w:rsidR="00710341" w:rsidRDefault="00D031C8" w:rsidP="00D031C8">
      <w:pPr>
        <w:numPr>
          <w:ilvl w:val="2"/>
          <w:numId w:val="11"/>
        </w:numPr>
      </w:pPr>
      <w:r>
        <w:t>ومع ذلك، توجد بقية مؤمنة: «أسماء قليلة» (الآية 4) لم تُمحَ أسماؤهم من سفر الحياة (الآية 5؛ انظر خروج 32: 32-33؛ مزمور 69: 28؛ فيلبي 4: 3) - ضمانة للأمان الأبدي لمن يظلون طاهرين. يسير الغالبون بثياب بيضاء (الطهارة، النصر) وتُعلن أسماؤهم أمام الآب والملائكة (الآية 5؛ انظر متى 10: 32).</w:t>
      </w:r>
    </w:p>
    <w:p w14:paraId="462366BC" w14:textId="0A7ADC36" w:rsidR="00D031C8" w:rsidRPr="00D031C8" w:rsidRDefault="00D031C8" w:rsidP="00D031C8">
      <w:pPr>
        <w:numPr>
          <w:ilvl w:val="2"/>
          <w:numId w:val="11"/>
        </w:numPr>
      </w:pPr>
      <w:r>
        <w:t>تُعدّ ساردس أشدّ تحذير بعد لاودكية، إذ كانت أغلبية سكانها ميتة، ولم يبقَ منهم إلاّ عدد قليل. وهي تحذّر من التهاون والاكتفاء بالإنجازات الماضية، أو السمعة، أو المظاهر الخارجية، بينما يبرد القلب وتبقى الأعمال ناقصة. فالحياة الحقيقية تتطلّب اليقظة، وإتمام ما بدأه الله (فيلبي 1: 6)، والإيمان النقيّ.</w:t>
      </w:r>
    </w:p>
    <w:p w14:paraId="70C15556" w14:textId="0CFF2CD0" w:rsidR="003A2E05" w:rsidRPr="003A2E05" w:rsidRDefault="00B822C8" w:rsidP="003A2E05">
      <w:pPr>
        <w:numPr>
          <w:ilvl w:val="1"/>
          <w:numId w:val="11"/>
        </w:numPr>
      </w:pPr>
      <w:r>
        <w:t xml:space="preserve">النتيجة التقديرية: 10/100 - خالٍ من الحياة في الغالب. </w:t>
      </w:r>
    </w:p>
    <w:p w14:paraId="43F3B0D0" w14:textId="26715BB7" w:rsidR="003A2E05" w:rsidRPr="003A2E05" w:rsidRDefault="00B822C8" w:rsidP="003A2E05">
      <w:pPr>
        <w:numPr>
          <w:ilvl w:val="1"/>
          <w:numId w:val="11"/>
        </w:numPr>
      </w:pPr>
      <w:r>
        <w:t>النسبة المئوية المقدرة للتوفير: 5% - يتم توفير مبلغ ضئيل للغاية.</w:t>
      </w:r>
    </w:p>
    <w:p w14:paraId="76D2FD0B" w14:textId="77777777" w:rsidR="003A2E05" w:rsidRPr="003A2E05" w:rsidRDefault="003A2E05" w:rsidP="003A2E05">
      <w:pPr>
        <w:numPr>
          <w:ilvl w:val="0"/>
          <w:numId w:val="11"/>
        </w:numPr>
      </w:pPr>
      <w:r>
        <w:t xml:space="preserve">فيلادلفيا (رؤيا 3: 7-13) </w:t>
      </w:r>
    </w:p>
    <w:p w14:paraId="174274E7" w14:textId="54E64E48" w:rsidR="003A2E05" w:rsidRDefault="003A2E05" w:rsidP="003A2E05">
      <w:pPr>
        <w:numPr>
          <w:ilvl w:val="1"/>
          <w:numId w:val="11"/>
        </w:numPr>
      </w:pPr>
      <w:r>
        <w:t>التقييم: مُمدح لحفظ كلمة المسيح (tēreō logos, τηρέω οόγος) على الرغم من ديناميات قليلة (ὀlectίγη δύναμις، قوة قليلة) (رؤيا 3: 8).</w:t>
      </w:r>
    </w:p>
    <w:p w14:paraId="6C299A07" w14:textId="77777777" w:rsidR="003B772F" w:rsidRPr="009158A6" w:rsidRDefault="003B772F" w:rsidP="003B772F">
      <w:pPr>
        <w:numPr>
          <w:ilvl w:val="1"/>
          <w:numId w:val="11"/>
        </w:numPr>
        <w:rPr>
          <w:b/>
          <w:bCs/>
        </w:rPr>
      </w:pPr>
      <w:r>
        <w:t>العناصر الغامضة وشرحها:</w:t>
      </w:r>
    </w:p>
    <w:p w14:paraId="25CF38AF" w14:textId="77777777" w:rsidR="009158A6" w:rsidRDefault="003B772F" w:rsidP="003B772F">
      <w:pPr>
        <w:numPr>
          <w:ilvl w:val="2"/>
          <w:numId w:val="11"/>
        </w:numPr>
      </w:pPr>
      <w:r>
        <w:t>كانت فيلادلفيا مدينة صغيرة معرضة للزلازل (حيث دمرت الهزات المتكررة المباني، لذا كان الاستقرار ذا قيمة كبيرة). أثنى يسوع عليهم لتمسكهم بكلمته بقدراتهم البشرية المحدودة، مؤكدًا على الاعتماد على القوة الإلهية بدلًا من القوة الدنيوية (انظر زكريا 4: 6: &amp;quot;لا بالقدرة ولا بالقوة، بل بروحي&amp;quot;). يشير &amp;quot;مجمع الشيطان&amp;quot; إلى المدعين الكاذبين الذين يضطهدون المؤمنين (رومية 2: 28-29).</w:t>
      </w:r>
    </w:p>
    <w:p w14:paraId="368B3444" w14:textId="77777777" w:rsidR="009158A6" w:rsidRDefault="003B772F" w:rsidP="003B772F">
      <w:pPr>
        <w:numPr>
          <w:ilvl w:val="2"/>
          <w:numId w:val="11"/>
        </w:numPr>
      </w:pPr>
      <w:r>
        <w:t>يمتلك المسيح &amp;quot;مفتاح داود&amp;quot; (إشعياء 22:22) - السلطة السيادية لفتح وإغلاق أبواب الفرص والرسالة والوصول التي لا يمكن لأحد عكسها.</w:t>
      </w:r>
    </w:p>
    <w:p w14:paraId="45599CF8" w14:textId="3768477C" w:rsidR="003B772F" w:rsidRPr="003B772F" w:rsidRDefault="003B772F" w:rsidP="003B772F">
      <w:pPr>
        <w:numPr>
          <w:ilvl w:val="2"/>
          <w:numId w:val="11"/>
        </w:numPr>
      </w:pPr>
      <w:r>
        <w:t>إن الوعد للمنتصرين - «سأجعله عمودًا في هيكل إلهي، ولن يخرج منه أبدًا» (الآية ١٢) - صورةٌ بليغة: فالأعمدة ترمز إلى الديمومة والاستقرار (على عكس زلازل المدينة). في هيكل الله الأبدي (رؤيا ٢١: ٢٢)، يصبح المؤمنون جزءًا ثابتًا لا يتزعزع من حضوره. ينالون ثلاثة أسماء مكتوبة عليهم: اسم الله، واسم أورشليم الجديدة (المدينة النازلة من السماء، رؤيا ٢١: ٢)، واسم المسيح الجديد - الانتماء الكامل، والمواطنة، والهوية الحميمة في الملكوت (إشعياء ٦٢: ٢؛ رؤيا ٢: ١٧).</w:t>
      </w:r>
    </w:p>
    <w:p w14:paraId="6B8B7697" w14:textId="2E603179" w:rsidR="003A2E05" w:rsidRPr="003A2E05" w:rsidRDefault="00B822C8" w:rsidP="003A2E05">
      <w:pPr>
        <w:numPr>
          <w:ilvl w:val="1"/>
          <w:numId w:val="11"/>
        </w:numPr>
      </w:pPr>
      <w:r>
        <w:t xml:space="preserve">النتيجة التقديرية: 90/100 - موثوق للغاية. </w:t>
      </w:r>
    </w:p>
    <w:p w14:paraId="6051734B" w14:textId="336B6935" w:rsidR="003A2E05" w:rsidRPr="003A2E05" w:rsidRDefault="00B822C8" w:rsidP="003A2E05">
      <w:pPr>
        <w:numPr>
          <w:ilvl w:val="1"/>
          <w:numId w:val="11"/>
        </w:numPr>
      </w:pPr>
      <w:r>
        <w:t>النسبة المئوية المقدرة للوفورات: 90% - تم توفير معظمها.</w:t>
      </w:r>
    </w:p>
    <w:p w14:paraId="2FC0E894" w14:textId="77777777" w:rsidR="003A2E05" w:rsidRPr="003A2E05" w:rsidRDefault="003A2E05" w:rsidP="003A2E05">
      <w:pPr>
        <w:numPr>
          <w:ilvl w:val="0"/>
          <w:numId w:val="11"/>
        </w:numPr>
      </w:pPr>
      <w:r>
        <w:t xml:space="preserve">لاودكية (رؤيا 3: 14-22) </w:t>
      </w:r>
    </w:p>
    <w:p w14:paraId="16A73190" w14:textId="161BEA5B" w:rsidR="003A2E05" w:rsidRDefault="003A2E05" w:rsidP="003A2E05">
      <w:pPr>
        <w:numPr>
          <w:ilvl w:val="1"/>
          <w:numId w:val="11"/>
        </w:numPr>
      </w:pPr>
      <w:r>
        <w:t>التقييم: توبيخ كما chliaros (χlectιαρός، فاتر)، مواجهة الرفض (emesai، ἐμέσαι، بصق) (رؤيا 3: 16).</w:t>
      </w:r>
    </w:p>
    <w:p w14:paraId="6C0545FE" w14:textId="77777777" w:rsidR="007C23DE" w:rsidRPr="0058131E" w:rsidRDefault="007C23DE" w:rsidP="007C23DE">
      <w:pPr>
        <w:numPr>
          <w:ilvl w:val="1"/>
          <w:numId w:val="11"/>
        </w:numPr>
        <w:rPr>
          <w:b/>
          <w:bCs/>
        </w:rPr>
      </w:pPr>
      <w:r>
        <w:t>عناصر غامضة وشرح موسع:</w:t>
      </w:r>
    </w:p>
    <w:p w14:paraId="78A888A8" w14:textId="77777777" w:rsidR="00A301C7" w:rsidRDefault="007C23DE" w:rsidP="0058131E">
      <w:pPr>
        <w:numPr>
          <w:ilvl w:val="2"/>
          <w:numId w:val="11"/>
        </w:numPr>
      </w:pPr>
      <w:r>
        <w:t>كانت لاودكية مدينة ثرية (مركز مصرفي، منسوجات صوفية سوداء، مرهم عيون شهير) ومكتفية ذاتيًا (أُعيد بناؤها بعد زلزال عام 60 ميلاديًا دون مساعدة الرومان). وقد عكست الكنيسة هذا الوضع: «تقولون: أنا غني، وقد استغنيت، ولا أحتاج إلى شيء» (الآية 17). لكن يسوع يكشف المفارقة: فهم «بائسون، مثيرون للشفقة، فقراء، عميان، وعراة».</w:t>
      </w:r>
    </w:p>
    <w:p w14:paraId="0AB04725" w14:textId="77777777" w:rsidR="00D07168" w:rsidRDefault="007C23DE" w:rsidP="0058131E">
      <w:pPr>
        <w:numPr>
          <w:ilvl w:val="2"/>
          <w:numId w:val="11"/>
        </w:numPr>
      </w:pPr>
      <w:r>
        <w:t>يُستمدّ الماء &amp;quot;الفاتر&amp;quot; من مياه المدينة: يُنقل عبر قناة مائية من ينابيع معدنية ساخنة، فيصل فاتراً ومثيراً للغثيان - لا هو ساخن (مُعافي/مُفيد كمدينة هيرابوليس) ولا بارد (مُنعش كمدينة كولوسي). كان الماء الفاتر عديم الفائدة ومُثيراً للقيء. وكانت أعمال الكنيسة على نفس المنوال - لا مُنشّطة روحياً ولا مُطهّرة/مُعافية؛ فالاكتفاء الذاتي يُنتج إيماناً غير مُثمر وراضياً عن النفس.</w:t>
      </w:r>
    </w:p>
    <w:p w14:paraId="2647A1BD" w14:textId="556E7CA2" w:rsidR="007C23DE" w:rsidRPr="007C23DE" w:rsidRDefault="007C23DE" w:rsidP="0058131E">
      <w:pPr>
        <w:numPr>
          <w:ilvl w:val="2"/>
          <w:numId w:val="11"/>
        </w:numPr>
      </w:pPr>
      <w:r>
        <w:t>يستخدم يسوع في وصفته نقاط كبريائهم بطريقة ساخرة: &amp;quot;اشتروا مني ذهباً مصفى بالنار&amp;quot; (الغنى الحقيقي من خلال الإيمان النقي، ١ بطرس ١: ٧)، &amp;quot;ثياباً بيضاء&amp;quot; (بر المسيح يغطي العار، رؤيا ١٩: ٨)، &amp;quot;بلسماً للعين&amp;quot; (بصيرة روحية لرؤية حقيقتهم). يؤدب من يحبهم (الآية ١٩)، داعياً إياهم إلى التوبة الصادقة. الدعوة - &amp;quot;ها أنا واقف على الباب وأقرع&amp;quot; (الآية ٢٠) - تقدم شركة شخصية (وجبات مشتركة = حميمية) لكل من يفتح. يجلس الغالبون مع المسيح على عرشه (الآية ٢١).</w:t>
      </w:r>
    </w:p>
    <w:p w14:paraId="272512D8" w14:textId="0A26DC99" w:rsidR="003A2E05" w:rsidRPr="003A2E05" w:rsidRDefault="00B822C8" w:rsidP="003A2E05">
      <w:pPr>
        <w:numPr>
          <w:ilvl w:val="1"/>
          <w:numId w:val="11"/>
        </w:numPr>
      </w:pPr>
      <w:r>
        <w:t xml:space="preserve">النتيجة التقديرية: 5/100 - يكاد يكون من المستحيل إصلاحه. </w:t>
      </w:r>
    </w:p>
    <w:p w14:paraId="54509E6B" w14:textId="0B80900C" w:rsidR="003A2E05" w:rsidRPr="003A2E05" w:rsidRDefault="00B822C8" w:rsidP="003A2E05">
      <w:pPr>
        <w:numPr>
          <w:ilvl w:val="1"/>
          <w:numId w:val="11"/>
        </w:numPr>
      </w:pPr>
      <w:r>
        <w:t>النسبة المئوية المقدرة للوفورات: 5% - قليلون هم من هم في وضع جيد.</w:t>
      </w:r>
    </w:p>
    <w:p w14:paraId="33DA4052" w14:textId="77777777" w:rsidR="003A2E05" w:rsidRPr="003A2E05" w:rsidRDefault="003A2E05" w:rsidP="003A2E05">
      <w:r>
        <w:t>التقدير الإجمالي: من المرجح أن يكون حوالي 40٪ من الأعضاء في هذه الكنائس قد نالوا الخلاص، مما يعكس توازن النص اليوناني بين المدح والتوبيخ (على سبيل المثال، metanoēson للتوبة، nekros للموت الروحي).</w:t>
      </w:r>
    </w:p>
    <w:p w14:paraId="56E24E46" w14:textId="77777777" w:rsidR="003A2E05" w:rsidRPr="003A2E05" w:rsidRDefault="003A2E05" w:rsidP="007D2E46">
      <w:pPr>
        <w:pStyle w:val="Heading1"/>
      </w:pPr>
      <w:r>
        <w:t>5. القيادة والسلطة في الكنيسة المحلية</w:t>
      </w:r>
    </w:p>
    <w:p w14:paraId="42E1AE05" w14:textId="77777777" w:rsidR="003A2E05" w:rsidRPr="003A2E05" w:rsidRDefault="003A2E05" w:rsidP="003A2E05">
      <w:r>
        <w:t>تُدار مملكة الله من خلال قيادة معينة:</w:t>
      </w:r>
    </w:p>
    <w:p w14:paraId="66DDC071" w14:textId="77777777" w:rsidR="003A2E05" w:rsidRPr="003A2E05" w:rsidRDefault="003A2E05" w:rsidP="003A2E05">
      <w:pPr>
        <w:numPr>
          <w:ilvl w:val="0"/>
          <w:numId w:val="12"/>
        </w:numPr>
      </w:pPr>
      <w:r>
        <w:t>احترام القادة: يُكرّم الشيوخ (الرعاة، πρεσβύτεροι) لرعايتهم (1 تيموثاوس 5: 17). ويعكس صبر سميرنا في المحنة خضوعها للقيادة الصالحة.</w:t>
      </w:r>
    </w:p>
    <w:p w14:paraId="642CABF4" w14:textId="77777777" w:rsidR="003A2E05" w:rsidRPr="003A2E05" w:rsidRDefault="003A2E05" w:rsidP="003A2E05">
      <w:pPr>
        <w:numPr>
          <w:ilvl w:val="0"/>
          <w:numId w:val="12"/>
        </w:numPr>
      </w:pPr>
      <w:r>
        <w:t>تقليد إيمانهم: يقدم القادة نموذجًا للوفاء (pistis, πίστις) (عبرانيين 13:7)، كما يتضح من طاعة فيلادلفيا.</w:t>
      </w:r>
    </w:p>
    <w:p w14:paraId="20CDA7FA" w14:textId="77777777" w:rsidR="003A2E05" w:rsidRPr="003A2E05" w:rsidRDefault="003A2E05" w:rsidP="003A2E05">
      <w:pPr>
        <w:numPr>
          <w:ilvl w:val="0"/>
          <w:numId w:val="12"/>
        </w:numPr>
      </w:pPr>
      <w:r>
        <w:t>الخضوع للسلطة: إن الخضوع للمشرفين (episkopoi, ἐπίσκοποι) يعزز نظام المملكة (عبرانيين 13:17)، مما يعارض اعتماد لاودكية على نفسها.</w:t>
      </w:r>
    </w:p>
    <w:p w14:paraId="0CB1F0B9" w14:textId="77777777" w:rsidR="003A2E05" w:rsidRPr="003A2E05" w:rsidRDefault="003A2E05" w:rsidP="007D2E46">
      <w:pPr>
        <w:pStyle w:val="Heading1"/>
      </w:pPr>
      <w:r>
        <w:t>6. التفاني في الزمالة</w:t>
      </w:r>
    </w:p>
    <w:p w14:paraId="216CA6F3" w14:textId="77777777" w:rsidR="003A2E05" w:rsidRPr="003A2E05" w:rsidRDefault="003A2E05" w:rsidP="003A2E05">
      <w:pPr>
        <w:numPr>
          <w:ilvl w:val="0"/>
          <w:numId w:val="13"/>
        </w:numPr>
      </w:pPr>
      <w:r>
        <w:t>هدف الاجتماع: يجتمع المؤمنون ليحثّ بعضهم بعضًا على المحبة والأعمال الصالحة (عبرانيين ١٠: ٢٤-٢٥). ويُظهر تقصير أفسس في الحفاظ على المحبة (أغابي) ثمن إهمال الشركة.</w:t>
      </w:r>
    </w:p>
    <w:p w14:paraId="604D8587" w14:textId="77777777" w:rsidR="003A2E05" w:rsidRPr="003A2E05" w:rsidRDefault="003A2E05" w:rsidP="003A2E05">
      <w:pPr>
        <w:numPr>
          <w:ilvl w:val="0"/>
          <w:numId w:val="13"/>
        </w:numPr>
      </w:pPr>
      <w:r>
        <w:t>الالتزام بالعطاء: إن المساهمة في الجسد (koinōnia, κοινωνία) تعكس نكران الذات في الملكوت (أعمال الرسل 2: 44-45)، على عكس الاكتفاء الذاتي في لاودكية.</w:t>
      </w:r>
    </w:p>
    <w:p w14:paraId="1908704D" w14:textId="77777777" w:rsidR="003A2E05" w:rsidRPr="003A2E05" w:rsidRDefault="003A2E05" w:rsidP="007D2E46">
      <w:pPr>
        <w:pStyle w:val="Heading1"/>
      </w:pPr>
      <w:r>
        <w:t>7. الكنيسة كتعبير عن حكمة الله المتعددة</w:t>
      </w:r>
    </w:p>
    <w:p w14:paraId="73C8EECB" w14:textId="77777777" w:rsidR="003A2E05" w:rsidRPr="003A2E05" w:rsidRDefault="003A2E05" w:rsidP="003A2E05">
      <w:pPr>
        <w:numPr>
          <w:ilvl w:val="0"/>
          <w:numId w:val="14"/>
        </w:numPr>
      </w:pPr>
      <w:r>
        <w:t>الغاية الأبدية: تكشف الكنيسة عن حكمة الله المتعددة (أفسس 3: 10). ويُجسّد إخلاص فيلادلفيا هذه الحكمة.</w:t>
      </w:r>
    </w:p>
    <w:p w14:paraId="7E7DE41E" w14:textId="77777777" w:rsidR="003A2E05" w:rsidRPr="003A2E05" w:rsidRDefault="003A2E05" w:rsidP="003A2E05">
      <w:pPr>
        <w:numPr>
          <w:ilvl w:val="0"/>
          <w:numId w:val="14"/>
        </w:numPr>
      </w:pPr>
      <w:r>
        <w:t>الثقة بالله: يقترب المؤمنون من الله بجرأة (παρρησία) من خلال الكنيسة (أفسس 3:12)، على عكس الموت الروحي في ساردس.</w:t>
      </w:r>
    </w:p>
    <w:p w14:paraId="3EA55533" w14:textId="77777777" w:rsidR="003A2E05" w:rsidRPr="003A2E05" w:rsidRDefault="003A2E05" w:rsidP="003A2E05">
      <w:pPr>
        <w:numPr>
          <w:ilvl w:val="0"/>
          <w:numId w:val="14"/>
        </w:numPr>
      </w:pPr>
      <w:r>
        <w:t>دعوة للالتزام: إن الإخلاص الكامل - من خلال الحضور والخدمة - يتماشى مع خطة الله، كما هو موضح في أعمال الرسل 2:42.</w:t>
      </w:r>
    </w:p>
    <w:p w14:paraId="67C25A92" w14:textId="77777777" w:rsidR="003A2E05" w:rsidRPr="003A2E05" w:rsidRDefault="003A2E05" w:rsidP="007D2E46">
      <w:pPr>
        <w:pStyle w:val="Heading1"/>
      </w:pPr>
      <w:r>
        <w:t>8. الكنيسة والمملكة: استكشاف أعمق</w:t>
      </w:r>
    </w:p>
    <w:p w14:paraId="26197319" w14:textId="77777777" w:rsidR="003A2E05" w:rsidRPr="003A2E05" w:rsidRDefault="003A2E05" w:rsidP="003A2E05">
      <w:r>
        <w:t>المملكة هي:</w:t>
      </w:r>
    </w:p>
    <w:p w14:paraId="39615AAD" w14:textId="77777777" w:rsidR="003A2E05" w:rsidRPr="003A2E05" w:rsidRDefault="003A2E05" w:rsidP="003A2E05">
      <w:pPr>
        <w:numPr>
          <w:ilvl w:val="0"/>
          <w:numId w:val="15"/>
        </w:numPr>
      </w:pPr>
      <w:r>
        <w:t>الحاضر والمستقبل: تم تدشينه (ēngiken، ἤγγικεν، قد اقترب) من خلال المسيح (مرقس 1:15)، ولكنه مستقبلي (رؤيا 11:15).</w:t>
      </w:r>
    </w:p>
    <w:p w14:paraId="66E07B75" w14:textId="77777777" w:rsidR="003A2E05" w:rsidRPr="003A2E05" w:rsidRDefault="003A2E05" w:rsidP="003A2E05">
      <w:pPr>
        <w:numPr>
          <w:ilvl w:val="0"/>
          <w:numId w:val="15"/>
        </w:numPr>
      </w:pPr>
      <w:r>
        <w:t>روحي ومرئي: في قلوب المؤمنين (لوقا 17:20-21) ومن خلال رسالة الكنيسة (متى 5:14-16).</w:t>
      </w:r>
    </w:p>
    <w:p w14:paraId="4CED24D3" w14:textId="77777777" w:rsidR="003A2E05" w:rsidRPr="003A2E05" w:rsidRDefault="003A2E05" w:rsidP="003A2E05">
      <w:pPr>
        <w:numPr>
          <w:ilvl w:val="0"/>
          <w:numId w:val="15"/>
        </w:numPr>
      </w:pPr>
      <w:r>
        <w:t>تحويلي: الكنيسة، باعتبارها مركز الملكوت، تحول الحياة (metanoia، μετάνοια، التوبة) (متى 28: 19-20).</w:t>
      </w:r>
    </w:p>
    <w:p w14:paraId="40AA8D04" w14:textId="77777777" w:rsidR="003A2E05" w:rsidRPr="003A2E05" w:rsidRDefault="003A2E05" w:rsidP="003A2E05">
      <w:pPr>
        <w:numPr>
          <w:ilvl w:val="0"/>
          <w:numId w:val="15"/>
        </w:numPr>
      </w:pPr>
      <w:r>
        <w:t>أبدي: تتطلع الكنيسة إلى ملكوت الله الأبدي (رؤيا ٢٢: ١-٥). إن سجل الكنائس السبع المتباين - إيمان سميرنا، وفشل لاودكية - يحث على الالتزام الراسخ.</w:t>
      </w:r>
    </w:p>
    <w:p w14:paraId="69F0AE8A" w14:textId="77777777" w:rsidR="003A2E05" w:rsidRPr="003A2E05" w:rsidRDefault="003A2E05" w:rsidP="007D2E46">
      <w:pPr>
        <w:pStyle w:val="Heading1"/>
      </w:pPr>
      <w:r>
        <w:t>خاتمة</w:t>
      </w:r>
    </w:p>
    <w:p w14:paraId="5164C70A" w14:textId="77777777" w:rsidR="003A2E05" w:rsidRPr="003A2E05" w:rsidRDefault="003A2E05" w:rsidP="003A2E05">
      <w:r>
        <w:t>الكنيسة هي أداة الله لإظهار ملكوته. تحذر الكنائس السبع المذكورة في سفر الرؤيا من الانحراف الروحي (nekros, chliaros) وتحث على الإخلاص (pistos). إن الالتزام بالكنيسة المحلية - من خلال الحضور والمشاركة والخضوع للقيادة - يضمن النمو الروحي ويتماشى مع خطة الله الأزلية. كان حوالي 40% فقط من أعضاء الكنائس السبع على الأرجح في حالة خلاص، مما يحث المؤمنين على الاستجابة لدعوة يسوع إلى التوبة (metanoēson).</w:t>
      </w:r>
    </w:p>
    <w:p w14:paraId="22349B7C" w14:textId="77777777" w:rsidR="003A2E05" w:rsidRPr="003A2E05" w:rsidRDefault="003A2E05" w:rsidP="00F43B5B">
      <w:pPr>
        <w:pStyle w:val="Heading2"/>
      </w:pPr>
      <w:r>
        <w:t>نصائح كتابية للتطبيق</w:t>
      </w:r>
    </w:p>
    <w:p w14:paraId="573D9726" w14:textId="77777777" w:rsidR="003A2E05" w:rsidRPr="003A2E05" w:rsidRDefault="003A2E05" w:rsidP="003A2E05">
      <w:pPr>
        <w:numPr>
          <w:ilvl w:val="0"/>
          <w:numId w:val="16"/>
        </w:numPr>
      </w:pPr>
      <w:r>
        <w:t>كولوسي 1:18: اخضعوا للمسيح، رأس الكنيسة.</w:t>
      </w:r>
    </w:p>
    <w:p w14:paraId="70DC61FF" w14:textId="77777777" w:rsidR="003A2E05" w:rsidRPr="003A2E05" w:rsidRDefault="003A2E05" w:rsidP="003A2E05">
      <w:pPr>
        <w:numPr>
          <w:ilvl w:val="0"/>
          <w:numId w:val="16"/>
        </w:numPr>
      </w:pPr>
      <w:r>
        <w:t>كورنثوس الأولى 12:12-27: احتضنوا الترابط في الجسد.</w:t>
      </w:r>
    </w:p>
    <w:p w14:paraId="51A861A1" w14:textId="77777777" w:rsidR="003A2E05" w:rsidRPr="003A2E05" w:rsidRDefault="003A2E05" w:rsidP="003A2E05">
      <w:pPr>
        <w:numPr>
          <w:ilvl w:val="0"/>
          <w:numId w:val="16"/>
        </w:numPr>
      </w:pPr>
      <w:r>
        <w:t>عبرانيين 10:24-25: أعط الأولوية للكوينونيا (الشركة) لتجنب الانحراف.</w:t>
      </w:r>
    </w:p>
    <w:p w14:paraId="43B65034" w14:textId="77777777" w:rsidR="003A2E05" w:rsidRPr="003A2E05" w:rsidRDefault="003A2E05" w:rsidP="003A2E05">
      <w:pPr>
        <w:numPr>
          <w:ilvl w:val="0"/>
          <w:numId w:val="16"/>
        </w:numPr>
      </w:pPr>
      <w:r>
        <w:t>أعمال الرسل 2: 42-47: نموذج لتفاني الكنيسة الأولى.</w:t>
      </w:r>
    </w:p>
    <w:p w14:paraId="442FB840" w14:textId="77777777" w:rsidR="003A2E05" w:rsidRPr="003A2E05" w:rsidRDefault="003A2E05" w:rsidP="003A2E05">
      <w:pPr>
        <w:numPr>
          <w:ilvl w:val="0"/>
          <w:numId w:val="16"/>
        </w:numPr>
      </w:pPr>
      <w:r>
        <w:t>أفسس 2: 19-22: البناء على المسيح، حجر الزاوية (akrogōniaios).</w:t>
      </w:r>
    </w:p>
    <w:p w14:paraId="75BC5586" w14:textId="77777777" w:rsidR="003A2E05" w:rsidRPr="003A2E05" w:rsidRDefault="003A2E05" w:rsidP="00F43B5B">
      <w:pPr>
        <w:pStyle w:val="Heading2"/>
      </w:pPr>
      <w:r>
        <w:t>دعوة للعمل</w:t>
      </w:r>
    </w:p>
    <w:p w14:paraId="5529F38F" w14:textId="77777777" w:rsidR="003A2E05" w:rsidRPr="003A2E05" w:rsidRDefault="003A2E05" w:rsidP="003A2E05">
      <w:r>
        <w:t>التزموا التزاماً كاملاً بالكنيسة المحلية، كما تُعلّم الكنائس السبع. احضروا جميع الاجتماعات، واخدموا بإخلاص، وتوافقوا مع ملكوت الله، وتجنّبوا إخفاقات ساردس ولاودكية، واقتدوا بسميرنا وفيلادلفيا.</w:t>
      </w:r>
    </w:p>
    <w:p w14:paraId="1D181EAE" w14:textId="77777777" w:rsidR="0038413E" w:rsidRDefault="0038413E" w:rsidP="003A2E05"/>
    <w:p w14:paraId="68C86059" w14:textId="77777777" w:rsidR="008F6526" w:rsidRPr="008F6526" w:rsidRDefault="00D20F4E" w:rsidP="008F6526">
      <w:r>
        <w:t>جدول ملخص: الكنيسة كتعبير عن ملكوت الله - التعاليم الكتابية الأساسية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الموضوع / القسم</w:t>
            </w:r>
          </w:p>
        </w:tc>
        <w:tc>
          <w:tcPr>
            <w:tcW w:w="0" w:type="auto"/>
            <w:vAlign w:val="center"/>
            <w:hideMark/>
          </w:tcPr>
          <w:p w14:paraId="4EA58D32" w14:textId="77777777" w:rsidR="00D20F4E" w:rsidRPr="00D20F4E" w:rsidRDefault="00D20F4E" w:rsidP="00D20F4E">
            <w:pPr>
              <w:rPr>
                <w:b/>
                <w:bCs/>
                <w:sz w:val="16"/>
                <w:szCs w:val="16"/>
              </w:rPr>
            </w:pPr>
            <w:r>
              <w:t>مفهوم كتابي رئيسي / استعارة</w:t>
            </w:r>
          </w:p>
        </w:tc>
        <w:tc>
          <w:tcPr>
            <w:tcW w:w="0" w:type="auto"/>
            <w:vAlign w:val="center"/>
            <w:hideMark/>
          </w:tcPr>
          <w:p w14:paraId="40269786" w14:textId="77777777" w:rsidR="00D20F4E" w:rsidRPr="00D20F4E" w:rsidRDefault="00D20F4E" w:rsidP="00D20F4E">
            <w:pPr>
              <w:rPr>
                <w:b/>
                <w:bCs/>
                <w:sz w:val="16"/>
                <w:szCs w:val="16"/>
              </w:rPr>
            </w:pPr>
            <w:r>
              <w:t>المراجع الكتابية الأساسية</w:t>
            </w:r>
          </w:p>
        </w:tc>
        <w:tc>
          <w:tcPr>
            <w:tcW w:w="0" w:type="auto"/>
            <w:vAlign w:val="center"/>
            <w:hideMark/>
          </w:tcPr>
          <w:p w14:paraId="238FB9C9" w14:textId="77777777" w:rsidR="00D20F4E" w:rsidRPr="00D20F4E" w:rsidRDefault="00D20F4E" w:rsidP="00D20F4E">
            <w:pPr>
              <w:rPr>
                <w:b/>
                <w:bCs/>
                <w:sz w:val="16"/>
                <w:szCs w:val="16"/>
              </w:rPr>
            </w:pPr>
            <w:r>
              <w:t>التطبيق العملي / دعوة للالتزام</w:t>
            </w:r>
          </w:p>
        </w:tc>
        <w:tc>
          <w:tcPr>
            <w:tcW w:w="0" w:type="auto"/>
            <w:vAlign w:val="center"/>
            <w:hideMark/>
          </w:tcPr>
          <w:p w14:paraId="5BD72025" w14:textId="77777777" w:rsidR="00D20F4E" w:rsidRPr="00D20F4E" w:rsidRDefault="00D20F4E" w:rsidP="00D20F4E">
            <w:pPr>
              <w:rPr>
                <w:b/>
                <w:bCs/>
                <w:sz w:val="16"/>
                <w:szCs w:val="16"/>
              </w:rPr>
            </w:pPr>
            <w:r>
              <w:t>مثال إيجابي من سبع كنائس</w:t>
            </w:r>
          </w:p>
        </w:tc>
        <w:tc>
          <w:tcPr>
            <w:tcW w:w="0" w:type="auto"/>
            <w:vAlign w:val="center"/>
            <w:hideMark/>
          </w:tcPr>
          <w:p w14:paraId="66F91A42" w14:textId="77777777" w:rsidR="00D20F4E" w:rsidRPr="00D20F4E" w:rsidRDefault="00D20F4E" w:rsidP="00D20F4E">
            <w:pPr>
              <w:rPr>
                <w:b/>
                <w:bCs/>
                <w:sz w:val="16"/>
                <w:szCs w:val="16"/>
              </w:rPr>
            </w:pPr>
            <w:r>
              <w:t>تحذير سلبي من سبع كنائس</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المعنى الكتابي للكنيسة</w:t>
            </w:r>
          </w:p>
        </w:tc>
        <w:tc>
          <w:tcPr>
            <w:tcW w:w="0" w:type="auto"/>
            <w:vAlign w:val="center"/>
            <w:hideMark/>
          </w:tcPr>
          <w:p w14:paraId="3AFA4EDB" w14:textId="77777777" w:rsidR="00D20F4E" w:rsidRPr="00D20F4E" w:rsidRDefault="00D20F4E" w:rsidP="00D20F4E">
            <w:pPr>
              <w:rPr>
                <w:sz w:val="16"/>
                <w:szCs w:val="16"/>
              </w:rPr>
            </w:pPr>
            <w:r>
              <w:t>إكليسيا = جماعة مُدعوة؛ عالمية ومحلية</w:t>
            </w:r>
          </w:p>
        </w:tc>
        <w:tc>
          <w:tcPr>
            <w:tcW w:w="0" w:type="auto"/>
            <w:vAlign w:val="center"/>
            <w:hideMark/>
          </w:tcPr>
          <w:p w14:paraId="2FB005BF" w14:textId="77777777" w:rsidR="00D20F4E" w:rsidRPr="00D20F4E" w:rsidRDefault="00D20F4E" w:rsidP="00D20F4E">
            <w:pPr>
              <w:rPr>
                <w:sz w:val="16"/>
                <w:szCs w:val="16"/>
              </w:rPr>
            </w:pPr>
            <w:r>
              <w:t>متى ١٦: ١٨؛ أعمال الرسل ٢: ٤١-٤٧؛ أفسس ١: ٢٢-٢٣؛ عبرانيين ١٢: ٢٢-٢٤</w:t>
            </w:r>
          </w:p>
        </w:tc>
        <w:tc>
          <w:tcPr>
            <w:tcW w:w="0" w:type="auto"/>
            <w:vAlign w:val="center"/>
            <w:hideMark/>
          </w:tcPr>
          <w:p w14:paraId="0ED9303B" w14:textId="77777777" w:rsidR="00D20F4E" w:rsidRPr="00D20F4E" w:rsidRDefault="00D20F4E" w:rsidP="00D20F4E">
            <w:pPr>
              <w:rPr>
                <w:sz w:val="16"/>
                <w:szCs w:val="16"/>
              </w:rPr>
            </w:pPr>
            <w:r>
              <w:t>كن جزءًا من جماعة محلية مرئية مكرسة للتعليم والزمالة وكسر الخبز والصلاة</w:t>
            </w:r>
          </w:p>
        </w:tc>
        <w:tc>
          <w:tcPr>
            <w:tcW w:w="0" w:type="auto"/>
            <w:vAlign w:val="center"/>
            <w:hideMark/>
          </w:tcPr>
          <w:p w14:paraId="3D1BF19E" w14:textId="77777777" w:rsidR="00D20F4E" w:rsidRPr="00D20F4E" w:rsidRDefault="00D20F4E" w:rsidP="00D20F4E">
            <w:pPr>
              <w:rPr>
                <w:sz w:val="16"/>
                <w:szCs w:val="16"/>
              </w:rPr>
            </w:pPr>
            <w:r>
              <w:t>سميرنا، فيلادلفيا (المخلص)</w:t>
            </w:r>
          </w:p>
        </w:tc>
        <w:tc>
          <w:tcPr>
            <w:tcW w:w="0" w:type="auto"/>
            <w:vAlign w:val="center"/>
            <w:hideMark/>
          </w:tcPr>
          <w:p w14:paraId="74111E5A" w14:textId="77777777" w:rsidR="00D20F4E" w:rsidRPr="00D20F4E" w:rsidRDefault="00D20F4E" w:rsidP="00D20F4E">
            <w:pPr>
              <w:rPr>
                <w:sz w:val="16"/>
                <w:szCs w:val="16"/>
              </w:rPr>
            </w:pPr>
            <w:r>
              <w:t>لاوديسيا (انفصال فاتر)</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العلاقة بين الكنيسة والمملكة</w:t>
            </w:r>
          </w:p>
        </w:tc>
        <w:tc>
          <w:tcPr>
            <w:tcW w:w="0" w:type="auto"/>
            <w:vAlign w:val="center"/>
            <w:hideMark/>
          </w:tcPr>
          <w:p w14:paraId="39DA7409" w14:textId="77777777" w:rsidR="00D20F4E" w:rsidRPr="00D20F4E" w:rsidRDefault="00D20F4E" w:rsidP="00D20F4E">
            <w:pPr>
              <w:rPr>
                <w:sz w:val="16"/>
                <w:szCs w:val="16"/>
              </w:rPr>
            </w:pPr>
            <w:r>
              <w:t>مظهر حاضر لحكم الله؛ يستشرف حكماً مستقبلياً كاملاً</w:t>
            </w:r>
          </w:p>
        </w:tc>
        <w:tc>
          <w:tcPr>
            <w:tcW w:w="0" w:type="auto"/>
            <w:vAlign w:val="center"/>
            <w:hideMark/>
          </w:tcPr>
          <w:p w14:paraId="0CA25C35" w14:textId="77777777" w:rsidR="00D20F4E" w:rsidRPr="00D20F4E" w:rsidRDefault="00D20F4E" w:rsidP="00D20F4E">
            <w:pPr>
              <w:rPr>
                <w:sz w:val="16"/>
                <w:szCs w:val="16"/>
              </w:rPr>
            </w:pPr>
            <w:r>
              <w:t>مرقس 1: 15؛ لوقا 17: 20-21؛ كولوسي 1: 13-14؛ رؤيا 11: 15، 21: 1-4</w:t>
            </w:r>
          </w:p>
        </w:tc>
        <w:tc>
          <w:tcPr>
            <w:tcW w:w="0" w:type="auto"/>
            <w:vAlign w:val="center"/>
            <w:hideMark/>
          </w:tcPr>
          <w:p w14:paraId="4BB8160D" w14:textId="77777777" w:rsidR="00D20F4E" w:rsidRPr="00D20F4E" w:rsidRDefault="00D20F4E" w:rsidP="00D20F4E">
            <w:pPr>
              <w:rPr>
                <w:sz w:val="16"/>
                <w:szCs w:val="16"/>
              </w:rPr>
            </w:pPr>
            <w:r>
              <w:t>عِشْ قيم الملكوت الآن من خلال الإخلاص والوحدة والرسالة</w:t>
            </w:r>
          </w:p>
        </w:tc>
        <w:tc>
          <w:tcPr>
            <w:tcW w:w="0" w:type="auto"/>
            <w:vAlign w:val="center"/>
            <w:hideMark/>
          </w:tcPr>
          <w:p w14:paraId="7032BE6C" w14:textId="77777777" w:rsidR="00D20F4E" w:rsidRPr="00D20F4E" w:rsidRDefault="00D20F4E" w:rsidP="00D20F4E">
            <w:pPr>
              <w:rPr>
                <w:sz w:val="16"/>
                <w:szCs w:val="16"/>
              </w:rPr>
            </w:pPr>
            <w:r>
              <w:t>سميرنا، فيلادلفيا</w:t>
            </w:r>
          </w:p>
        </w:tc>
        <w:tc>
          <w:tcPr>
            <w:tcW w:w="0" w:type="auto"/>
            <w:vAlign w:val="center"/>
            <w:hideMark/>
          </w:tcPr>
          <w:p w14:paraId="65C01CEF" w14:textId="77777777" w:rsidR="00D20F4E" w:rsidRPr="00D20F4E" w:rsidRDefault="00D20F4E" w:rsidP="00D20F4E">
            <w:pPr>
              <w:rPr>
                <w:sz w:val="16"/>
                <w:szCs w:val="16"/>
              </w:rPr>
            </w:pPr>
            <w:r>
              <w:t>ساردس (ميتة)، لاوديسيا (معتمدة على نفسها)</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وصف قوي</w:t>
            </w:r>
          </w:p>
        </w:tc>
        <w:tc>
          <w:tcPr>
            <w:tcW w:w="0" w:type="auto"/>
            <w:vAlign w:val="center"/>
            <w:hideMark/>
          </w:tcPr>
          <w:p w14:paraId="1183547C" w14:textId="77777777" w:rsidR="00D20F4E" w:rsidRPr="00D20F4E" w:rsidRDefault="00D20F4E" w:rsidP="00D20F4E">
            <w:pPr>
              <w:rPr>
                <w:sz w:val="16"/>
                <w:szCs w:val="16"/>
              </w:rPr>
            </w:pPr>
            <w:r>
              <w:t>البيت، المبنى (حجر الزاوية للمسيح)، الهيكل المقدس، جسد المسيح</w:t>
            </w:r>
          </w:p>
        </w:tc>
        <w:tc>
          <w:tcPr>
            <w:tcW w:w="0" w:type="auto"/>
            <w:vAlign w:val="center"/>
            <w:hideMark/>
          </w:tcPr>
          <w:p w14:paraId="764CE579" w14:textId="77777777" w:rsidR="00D20F4E" w:rsidRPr="00D20F4E" w:rsidRDefault="00D20F4E" w:rsidP="00D20F4E">
            <w:pPr>
              <w:rPr>
                <w:sz w:val="16"/>
                <w:szCs w:val="16"/>
              </w:rPr>
            </w:pPr>
            <w:r>
              <w:t>أفسس ٢: ١٩-٢٢؛ ١ كورنثوس ٣: ١٦-١٧؛ ١ تيموثاوس ٣: ١٥؛ كولوسي ١: ١٨</w:t>
            </w:r>
          </w:p>
        </w:tc>
        <w:tc>
          <w:tcPr>
            <w:tcW w:w="0" w:type="auto"/>
            <w:vAlign w:val="center"/>
            <w:hideMark/>
          </w:tcPr>
          <w:p w14:paraId="7F0C3748" w14:textId="77777777" w:rsidR="00D20F4E" w:rsidRPr="00D20F4E" w:rsidRDefault="00D20F4E" w:rsidP="00D20F4E">
            <w:pPr>
              <w:rPr>
                <w:sz w:val="16"/>
                <w:szCs w:val="16"/>
              </w:rPr>
            </w:pPr>
            <w:r>
              <w:t>البناء على المسيح؛ الحفاظ على النقاء؛ العمل بشكل متكامل</w:t>
            </w:r>
          </w:p>
        </w:tc>
        <w:tc>
          <w:tcPr>
            <w:tcW w:w="0" w:type="auto"/>
            <w:vAlign w:val="center"/>
            <w:hideMark/>
          </w:tcPr>
          <w:p w14:paraId="12B1CDC1" w14:textId="77777777" w:rsidR="00D20F4E" w:rsidRPr="00D20F4E" w:rsidRDefault="00D20F4E" w:rsidP="00D20F4E">
            <w:pPr>
              <w:rPr>
                <w:sz w:val="16"/>
                <w:szCs w:val="16"/>
              </w:rPr>
            </w:pPr>
            <w:r>
              <w:t>فيلادلفيا (وعد الركيزة)</w:t>
            </w:r>
          </w:p>
        </w:tc>
        <w:tc>
          <w:tcPr>
            <w:tcW w:w="0" w:type="auto"/>
            <w:vAlign w:val="center"/>
            <w:hideMark/>
          </w:tcPr>
          <w:p w14:paraId="4A2F1DAF" w14:textId="77777777" w:rsidR="00D20F4E" w:rsidRPr="00D20F4E" w:rsidRDefault="00D20F4E" w:rsidP="00D20F4E">
            <w:pPr>
              <w:rPr>
                <w:sz w:val="16"/>
                <w:szCs w:val="16"/>
              </w:rPr>
            </w:pPr>
            <w:r>
              <w:t>أفسس (الحب الضائع يهدد الاستقرار)، ساردس (الملابس المتسخة)</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الوحدة في الكنيسة</w:t>
            </w:r>
          </w:p>
        </w:tc>
        <w:tc>
          <w:tcPr>
            <w:tcW w:w="0" w:type="auto"/>
            <w:vAlign w:val="center"/>
            <w:hideMark/>
          </w:tcPr>
          <w:p w14:paraId="4D08FC56" w14:textId="77777777" w:rsidR="00D20F4E" w:rsidRPr="00D20F4E" w:rsidRDefault="00D20F4E" w:rsidP="00D20F4E">
            <w:pPr>
              <w:rPr>
                <w:sz w:val="16"/>
                <w:szCs w:val="16"/>
              </w:rPr>
            </w:pPr>
            <w:r>
              <w:t>جسد واحد بروح واحدة؛ فكر واحد؛ تجنبوا الانقسامات</w:t>
            </w:r>
          </w:p>
        </w:tc>
        <w:tc>
          <w:tcPr>
            <w:tcW w:w="0" w:type="auto"/>
            <w:vAlign w:val="center"/>
            <w:hideMark/>
          </w:tcPr>
          <w:p w14:paraId="6CC55811" w14:textId="77777777" w:rsidR="00D20F4E" w:rsidRPr="00D20F4E" w:rsidRDefault="00D20F4E" w:rsidP="00D20F4E">
            <w:pPr>
              <w:rPr>
                <w:sz w:val="16"/>
                <w:szCs w:val="16"/>
              </w:rPr>
            </w:pPr>
            <w:r>
              <w:t>كورنثوس الأولى ١٢: ١٢-١٣؛ أفسس ٤: ٤-٦؛ كورنثوس الأولى ١: ١٠</w:t>
            </w:r>
          </w:p>
        </w:tc>
        <w:tc>
          <w:tcPr>
            <w:tcW w:w="0" w:type="auto"/>
            <w:vAlign w:val="center"/>
            <w:hideMark/>
          </w:tcPr>
          <w:p w14:paraId="69D0626F" w14:textId="77777777" w:rsidR="00D20F4E" w:rsidRPr="00D20F4E" w:rsidRDefault="00D20F4E" w:rsidP="00D20F4E">
            <w:pPr>
              <w:rPr>
                <w:sz w:val="16"/>
                <w:szCs w:val="16"/>
              </w:rPr>
            </w:pPr>
            <w:r>
              <w:t>السعي نحو التوافق مع الكتاب المقدس (فرونيو)؛ ورفض الانقسام</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بيرغاموس (التعليم الخاطئ تسبب في الانقسام)</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القيادة والسلطة</w:t>
            </w:r>
          </w:p>
        </w:tc>
        <w:tc>
          <w:tcPr>
            <w:tcW w:w="0" w:type="auto"/>
            <w:vAlign w:val="center"/>
            <w:hideMark/>
          </w:tcPr>
          <w:p w14:paraId="5C65DCDB" w14:textId="77777777" w:rsidR="00D20F4E" w:rsidRPr="00D20F4E" w:rsidRDefault="00D20F4E" w:rsidP="00D20F4E">
            <w:pPr>
              <w:rPr>
                <w:sz w:val="16"/>
                <w:szCs w:val="16"/>
              </w:rPr>
            </w:pPr>
            <w:r>
              <w:t>أكرموا الشيوخ/القساوسة؛ اخضعوا للمشرفين</w:t>
            </w:r>
          </w:p>
        </w:tc>
        <w:tc>
          <w:tcPr>
            <w:tcW w:w="0" w:type="auto"/>
            <w:vAlign w:val="center"/>
            <w:hideMark/>
          </w:tcPr>
          <w:p w14:paraId="4AD6A5B5" w14:textId="77777777" w:rsidR="00D20F4E" w:rsidRPr="00D20F4E" w:rsidRDefault="00D20F4E" w:rsidP="00D20F4E">
            <w:pPr>
              <w:rPr>
                <w:sz w:val="16"/>
                <w:szCs w:val="16"/>
              </w:rPr>
            </w:pPr>
            <w:r>
              <w:t>1 تيموثاوس 5: 17؛ عبرانيين 13: 7، 17</w:t>
            </w:r>
          </w:p>
        </w:tc>
        <w:tc>
          <w:tcPr>
            <w:tcW w:w="0" w:type="auto"/>
            <w:vAlign w:val="center"/>
            <w:hideMark/>
          </w:tcPr>
          <w:p w14:paraId="279FFD07" w14:textId="77777777" w:rsidR="00D20F4E" w:rsidRPr="00D20F4E" w:rsidRDefault="00D20F4E" w:rsidP="00D20F4E">
            <w:pPr>
              <w:rPr>
                <w:sz w:val="16"/>
                <w:szCs w:val="16"/>
              </w:rPr>
            </w:pPr>
            <w:r>
              <w:t>اقتدوا بالقادة المخلصين؛ واخضعوا للنظام</w:t>
            </w:r>
          </w:p>
        </w:tc>
        <w:tc>
          <w:tcPr>
            <w:tcW w:w="0" w:type="auto"/>
            <w:vAlign w:val="center"/>
            <w:hideMark/>
          </w:tcPr>
          <w:p w14:paraId="3FBABB14" w14:textId="77777777" w:rsidR="00D20F4E" w:rsidRPr="00D20F4E" w:rsidRDefault="00D20F4E" w:rsidP="00D20F4E">
            <w:pPr>
              <w:rPr>
                <w:sz w:val="16"/>
                <w:szCs w:val="16"/>
              </w:rPr>
            </w:pPr>
            <w:r>
              <w:t>سميرنا، فيلادلفيا</w:t>
            </w:r>
          </w:p>
        </w:tc>
        <w:tc>
          <w:tcPr>
            <w:tcW w:w="0" w:type="auto"/>
            <w:vAlign w:val="center"/>
            <w:hideMark/>
          </w:tcPr>
          <w:p w14:paraId="79A7B751" w14:textId="77777777" w:rsidR="00D20F4E" w:rsidRPr="00D20F4E" w:rsidRDefault="00D20F4E" w:rsidP="00D20F4E">
            <w:pPr>
              <w:rPr>
                <w:sz w:val="16"/>
                <w:szCs w:val="16"/>
              </w:rPr>
            </w:pPr>
            <w:r>
              <w:t>لاوديسيا (الاكتفاء الذاتي وتجاهل السلطة)</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التفاني في الزمالة</w:t>
            </w:r>
          </w:p>
        </w:tc>
        <w:tc>
          <w:tcPr>
            <w:tcW w:w="0" w:type="auto"/>
            <w:vAlign w:val="center"/>
            <w:hideMark/>
          </w:tcPr>
          <w:p w14:paraId="1A49CE74" w14:textId="77777777" w:rsidR="00D20F4E" w:rsidRPr="00D20F4E" w:rsidRDefault="00D20F4E" w:rsidP="00D20F4E">
            <w:pPr>
              <w:rPr>
                <w:sz w:val="16"/>
                <w:szCs w:val="16"/>
              </w:rPr>
            </w:pPr>
            <w:r>
              <w:t>شجعوا بعضكم بعضاً على المحبة والأعمال الصالحة؛ وشاركوا الموارد.</w:t>
            </w:r>
          </w:p>
        </w:tc>
        <w:tc>
          <w:tcPr>
            <w:tcW w:w="0" w:type="auto"/>
            <w:vAlign w:val="center"/>
            <w:hideMark/>
          </w:tcPr>
          <w:p w14:paraId="1C81EADF" w14:textId="77777777" w:rsidR="00D20F4E" w:rsidRPr="00D20F4E" w:rsidRDefault="00D20F4E" w:rsidP="00D20F4E">
            <w:pPr>
              <w:rPr>
                <w:sz w:val="16"/>
                <w:szCs w:val="16"/>
              </w:rPr>
            </w:pPr>
            <w:r>
              <w:t>عبرانيين ١٠: ٢٤-٢٥؛ أعمال الرسل ٢: ٤٤-٤٥</w:t>
            </w:r>
          </w:p>
        </w:tc>
        <w:tc>
          <w:tcPr>
            <w:tcW w:w="0" w:type="auto"/>
            <w:vAlign w:val="center"/>
            <w:hideMark/>
          </w:tcPr>
          <w:p w14:paraId="3F1C1F5D" w14:textId="77777777" w:rsidR="00D20F4E" w:rsidRPr="00D20F4E" w:rsidRDefault="00D20F4E" w:rsidP="00D20F4E">
            <w:pPr>
              <w:rPr>
                <w:sz w:val="16"/>
                <w:szCs w:val="16"/>
              </w:rPr>
            </w:pPr>
            <w:r>
              <w:t>أعطِ الأولوية للتجمع والعطاء والكوينونيا</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أفسس (إهمال الحب)، لاودكية (التركيز على الذات)</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حكمة متعددة وهدف أبدي</w:t>
            </w:r>
          </w:p>
        </w:tc>
        <w:tc>
          <w:tcPr>
            <w:tcW w:w="0" w:type="auto"/>
            <w:vAlign w:val="center"/>
            <w:hideMark/>
          </w:tcPr>
          <w:p w14:paraId="0639E922" w14:textId="77777777" w:rsidR="00D20F4E" w:rsidRPr="00D20F4E" w:rsidRDefault="00D20F4E" w:rsidP="00D20F4E">
            <w:pPr>
              <w:rPr>
                <w:sz w:val="16"/>
                <w:szCs w:val="16"/>
              </w:rPr>
            </w:pPr>
            <w:r>
              <w:t>تكشف الكنيسة عن حكمة الله المتعددة؛ الجرأة في الوصول</w:t>
            </w:r>
          </w:p>
        </w:tc>
        <w:tc>
          <w:tcPr>
            <w:tcW w:w="0" w:type="auto"/>
            <w:vAlign w:val="center"/>
            <w:hideMark/>
          </w:tcPr>
          <w:p w14:paraId="76B18222" w14:textId="77777777" w:rsidR="00D20F4E" w:rsidRPr="00D20F4E" w:rsidRDefault="00D20F4E" w:rsidP="00D20F4E">
            <w:pPr>
              <w:rPr>
                <w:sz w:val="16"/>
                <w:szCs w:val="16"/>
              </w:rPr>
            </w:pPr>
            <w:r>
              <w:t>أفسس 3: 10، 12</w:t>
            </w:r>
          </w:p>
        </w:tc>
        <w:tc>
          <w:tcPr>
            <w:tcW w:w="0" w:type="auto"/>
            <w:vAlign w:val="center"/>
            <w:hideMark/>
          </w:tcPr>
          <w:p w14:paraId="12DA48D1" w14:textId="77777777" w:rsidR="00D20F4E" w:rsidRPr="00D20F4E" w:rsidRDefault="00D20F4E" w:rsidP="00D20F4E">
            <w:pPr>
              <w:rPr>
                <w:sz w:val="16"/>
                <w:szCs w:val="16"/>
              </w:rPr>
            </w:pPr>
            <w:r>
              <w:t>تقرّب إلى الله بثقة؛ وكن بمثابة حصنٍ للملكوت الأبدي.</w:t>
            </w:r>
          </w:p>
        </w:tc>
        <w:tc>
          <w:tcPr>
            <w:tcW w:w="0" w:type="auto"/>
            <w:vAlign w:val="center"/>
            <w:hideMark/>
          </w:tcPr>
          <w:p w14:paraId="5B283425" w14:textId="77777777" w:rsidR="00D20F4E" w:rsidRPr="00D20F4E" w:rsidRDefault="00D20F4E" w:rsidP="00D20F4E">
            <w:pPr>
              <w:rPr>
                <w:sz w:val="16"/>
                <w:szCs w:val="16"/>
              </w:rPr>
            </w:pPr>
            <w:r>
              <w:t>فيلادلفيا (تتجلى فيها الحكمة المتعددة)</w:t>
            </w:r>
          </w:p>
        </w:tc>
        <w:tc>
          <w:tcPr>
            <w:tcW w:w="0" w:type="auto"/>
            <w:vAlign w:val="center"/>
            <w:hideMark/>
          </w:tcPr>
          <w:p w14:paraId="30654E74" w14:textId="77777777" w:rsidR="00D20F4E" w:rsidRPr="00D20F4E" w:rsidRDefault="00D20F4E" w:rsidP="00D20F4E">
            <w:pPr>
              <w:rPr>
                <w:sz w:val="16"/>
                <w:szCs w:val="16"/>
              </w:rPr>
            </w:pPr>
            <w:r>
              <w:t>ساردس (الموت يخفي الحكمة)</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التقييم الإجمالي</w:t>
            </w:r>
          </w:p>
        </w:tc>
        <w:tc>
          <w:tcPr>
            <w:tcW w:w="0" w:type="auto"/>
            <w:vAlign w:val="center"/>
            <w:hideMark/>
          </w:tcPr>
          <w:p w14:paraId="13518800" w14:textId="77777777" w:rsidR="00D20F4E" w:rsidRPr="00D20F4E" w:rsidRDefault="00D20F4E" w:rsidP="00D20F4E">
            <w:pPr>
              <w:rPr>
                <w:sz w:val="16"/>
                <w:szCs w:val="16"/>
              </w:rPr>
            </w:pPr>
            <w:r>
              <w:t>الالتزام الكامل يتماشى مع خطة الله</w:t>
            </w:r>
          </w:p>
        </w:tc>
        <w:tc>
          <w:tcPr>
            <w:tcW w:w="0" w:type="auto"/>
            <w:vAlign w:val="center"/>
            <w:hideMark/>
          </w:tcPr>
          <w:p w14:paraId="39DB26F1" w14:textId="77777777" w:rsidR="00D20F4E" w:rsidRPr="00D20F4E" w:rsidRDefault="00D20F4E" w:rsidP="00D20F4E">
            <w:pPr>
              <w:rPr>
                <w:sz w:val="16"/>
                <w:szCs w:val="16"/>
              </w:rPr>
            </w:pPr>
            <w:r>
              <w:t>أعمال الرسل ٢: ٤٢-٤٧؛ كولوسي ١: ١٨؛ أفسس ٢: ١٩-٢٢</w:t>
            </w:r>
          </w:p>
        </w:tc>
        <w:tc>
          <w:tcPr>
            <w:tcW w:w="0" w:type="auto"/>
            <w:vAlign w:val="center"/>
            <w:hideMark/>
          </w:tcPr>
          <w:p w14:paraId="2771B535" w14:textId="77777777" w:rsidR="00D20F4E" w:rsidRPr="00D20F4E" w:rsidRDefault="00D20F4E" w:rsidP="00D20F4E">
            <w:pPr>
              <w:rPr>
                <w:sz w:val="16"/>
                <w:szCs w:val="16"/>
              </w:rPr>
            </w:pPr>
            <w:r>
              <w:t>احضر بانتظام، واخدم بإخلاص، وتُب عند الحاجة</w:t>
            </w:r>
          </w:p>
        </w:tc>
        <w:tc>
          <w:tcPr>
            <w:tcW w:w="0" w:type="auto"/>
            <w:vAlign w:val="center"/>
            <w:hideMark/>
          </w:tcPr>
          <w:p w14:paraId="50417AEF" w14:textId="77777777" w:rsidR="00D20F4E" w:rsidRPr="00D20F4E" w:rsidRDefault="00D20F4E" w:rsidP="00D20F4E">
            <w:pPr>
              <w:rPr>
                <w:sz w:val="16"/>
                <w:szCs w:val="16"/>
              </w:rPr>
            </w:pPr>
            <w:r>
              <w:t>سميرنا وفيلادلفيا (بيستوس)</w:t>
            </w:r>
          </w:p>
        </w:tc>
        <w:tc>
          <w:tcPr>
            <w:tcW w:w="0" w:type="auto"/>
            <w:vAlign w:val="center"/>
            <w:hideMark/>
          </w:tcPr>
          <w:p w14:paraId="7B160401" w14:textId="77777777" w:rsidR="00D20F4E" w:rsidRPr="00D20F4E" w:rsidRDefault="00D20F4E" w:rsidP="00D20F4E">
            <w:pPr>
              <w:rPr>
                <w:sz w:val="16"/>
                <w:szCs w:val="16"/>
              </w:rPr>
            </w:pPr>
            <w:r>
              <w:t>ساردس ولاودكية (نيكروس، تشلياروس)</w:t>
            </w:r>
          </w:p>
        </w:tc>
      </w:tr>
    </w:tbl>
    <w:p w14:paraId="4B907765" w14:textId="77777777" w:rsidR="003D76E6" w:rsidRDefault="003D76E6" w:rsidP="003A2E05"/>
    <w:p w14:paraId="6243DF55" w14:textId="34AEBE68" w:rsidR="003D76E6" w:rsidRDefault="00CF31E1" w:rsidP="003A2E05">
      <w:r>
        <w:t>جدول ملخص: تقييم الكنائس السبع في سفر الرؤيا ٢-٣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كنيسة</w:t>
            </w:r>
          </w:p>
        </w:tc>
        <w:tc>
          <w:tcPr>
            <w:tcW w:w="0" w:type="auto"/>
            <w:vAlign w:val="center"/>
            <w:hideMark/>
          </w:tcPr>
          <w:p w14:paraId="6ED7B9E9" w14:textId="77777777" w:rsidR="00882026" w:rsidRPr="00882026" w:rsidRDefault="00882026" w:rsidP="00882026">
            <w:pPr>
              <w:rPr>
                <w:b/>
                <w:bCs/>
                <w:sz w:val="16"/>
                <w:szCs w:val="16"/>
              </w:rPr>
            </w:pPr>
            <w:r>
              <w:t>إشادة رئيسية</w:t>
            </w:r>
          </w:p>
        </w:tc>
        <w:tc>
          <w:tcPr>
            <w:tcW w:w="0" w:type="auto"/>
            <w:vAlign w:val="center"/>
            <w:hideMark/>
          </w:tcPr>
          <w:p w14:paraId="65040CD0" w14:textId="77777777" w:rsidR="00882026" w:rsidRPr="00882026" w:rsidRDefault="00882026" w:rsidP="00882026">
            <w:pPr>
              <w:rPr>
                <w:b/>
                <w:bCs/>
                <w:sz w:val="16"/>
                <w:szCs w:val="16"/>
              </w:rPr>
            </w:pPr>
            <w:r>
              <w:t>توبيخ رئيسي / فشل حرج</w:t>
            </w:r>
          </w:p>
        </w:tc>
        <w:tc>
          <w:tcPr>
            <w:tcW w:w="0" w:type="auto"/>
            <w:vAlign w:val="center"/>
            <w:hideMark/>
          </w:tcPr>
          <w:p w14:paraId="676C7A6D" w14:textId="77777777" w:rsidR="00882026" w:rsidRPr="00882026" w:rsidRDefault="00882026" w:rsidP="00882026">
            <w:pPr>
              <w:rPr>
                <w:b/>
                <w:bCs/>
                <w:sz w:val="16"/>
                <w:szCs w:val="16"/>
              </w:rPr>
            </w:pPr>
            <w:r>
              <w:t>النتيجة التقديرية (رضا يسوع)</w:t>
            </w:r>
          </w:p>
        </w:tc>
        <w:tc>
          <w:tcPr>
            <w:tcW w:w="0" w:type="auto"/>
            <w:vAlign w:val="center"/>
            <w:hideMark/>
          </w:tcPr>
          <w:p w14:paraId="47A192E5" w14:textId="77777777" w:rsidR="00882026" w:rsidRPr="00882026" w:rsidRDefault="00882026" w:rsidP="00882026">
            <w:pPr>
              <w:rPr>
                <w:b/>
                <w:bCs/>
                <w:sz w:val="16"/>
                <w:szCs w:val="16"/>
              </w:rPr>
            </w:pPr>
            <w:r>
              <w:t>النسبة المئوية المقدرة للوفورات المحتملة</w:t>
            </w:r>
          </w:p>
        </w:tc>
        <w:tc>
          <w:tcPr>
            <w:tcW w:w="0" w:type="auto"/>
            <w:vAlign w:val="center"/>
            <w:hideMark/>
          </w:tcPr>
          <w:p w14:paraId="1C8D393B" w14:textId="77777777" w:rsidR="00882026" w:rsidRPr="00882026" w:rsidRDefault="00882026" w:rsidP="00882026">
            <w:pPr>
              <w:rPr>
                <w:b/>
                <w:bCs/>
                <w:sz w:val="16"/>
                <w:szCs w:val="16"/>
              </w:rPr>
            </w:pPr>
            <w:r>
              <w:t>تحذير روحي أساسي / درس</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أفسس</w:t>
            </w:r>
          </w:p>
        </w:tc>
        <w:tc>
          <w:tcPr>
            <w:tcW w:w="0" w:type="auto"/>
            <w:vAlign w:val="center"/>
            <w:hideMark/>
          </w:tcPr>
          <w:p w14:paraId="04A71031" w14:textId="77777777" w:rsidR="00882026" w:rsidRPr="00882026" w:rsidRDefault="00882026" w:rsidP="00882026">
            <w:pPr>
              <w:rPr>
                <w:sz w:val="16"/>
                <w:szCs w:val="16"/>
              </w:rPr>
            </w:pPr>
            <w:r>
              <w:t>عقيدة راسخة، ورفضت الرسل الكذبة والنيقولاويين</w:t>
            </w:r>
          </w:p>
        </w:tc>
        <w:tc>
          <w:tcPr>
            <w:tcW w:w="0" w:type="auto"/>
            <w:vAlign w:val="center"/>
            <w:hideMark/>
          </w:tcPr>
          <w:p w14:paraId="1824CEC4" w14:textId="77777777" w:rsidR="00882026" w:rsidRPr="00882026" w:rsidRDefault="00882026" w:rsidP="00882026">
            <w:pPr>
              <w:rPr>
                <w:sz w:val="16"/>
                <w:szCs w:val="16"/>
              </w:rPr>
            </w:pPr>
            <w:r>
              <w:t>الحب الأول المهجور (أغابي بروتي)؛ مخاطر إزالة حامل المصباح</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إن العقيدة بدون إخلاص شغوف غير كافية</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سميرنا</w:t>
            </w:r>
          </w:p>
        </w:tc>
        <w:tc>
          <w:tcPr>
            <w:tcW w:w="0" w:type="auto"/>
            <w:vAlign w:val="center"/>
            <w:hideMark/>
          </w:tcPr>
          <w:p w14:paraId="2EEFDF61" w14:textId="77777777" w:rsidR="00882026" w:rsidRPr="00882026" w:rsidRDefault="00882026" w:rsidP="00882026">
            <w:pPr>
              <w:rPr>
                <w:sz w:val="16"/>
                <w:szCs w:val="16"/>
              </w:rPr>
            </w:pPr>
            <w:r>
              <w:t>مؤمنون في وجه الاضطهاد؛ لا توبيخ</w:t>
            </w:r>
          </w:p>
        </w:tc>
        <w:tc>
          <w:tcPr>
            <w:tcW w:w="0" w:type="auto"/>
            <w:vAlign w:val="center"/>
            <w:hideMark/>
          </w:tcPr>
          <w:p w14:paraId="43596165" w14:textId="77777777" w:rsidR="00882026" w:rsidRPr="00882026" w:rsidRDefault="00882026" w:rsidP="00882026">
            <w:pPr>
              <w:rPr>
                <w:sz w:val="16"/>
                <w:szCs w:val="16"/>
              </w:rPr>
            </w:pPr>
            <w:r>
              <w:t>لا أحد</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الصبر في التجارب يرضي المسيح</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بيرغاموس</w:t>
            </w:r>
          </w:p>
        </w:tc>
        <w:tc>
          <w:tcPr>
            <w:tcW w:w="0" w:type="auto"/>
            <w:vAlign w:val="center"/>
            <w:hideMark/>
          </w:tcPr>
          <w:p w14:paraId="4B0101DD" w14:textId="77777777" w:rsidR="00882026" w:rsidRPr="00882026" w:rsidRDefault="00882026" w:rsidP="00882026">
            <w:pPr>
              <w:rPr>
                <w:sz w:val="16"/>
                <w:szCs w:val="16"/>
              </w:rPr>
            </w:pPr>
            <w:r>
              <w:t>محاصرين في معقل الشيطان</w:t>
            </w:r>
          </w:p>
        </w:tc>
        <w:tc>
          <w:tcPr>
            <w:tcW w:w="0" w:type="auto"/>
            <w:vAlign w:val="center"/>
            <w:hideMark/>
          </w:tcPr>
          <w:p w14:paraId="00B15833" w14:textId="77777777" w:rsidR="00882026" w:rsidRPr="00882026" w:rsidRDefault="00882026" w:rsidP="00882026">
            <w:pPr>
              <w:rPr>
                <w:sz w:val="16"/>
                <w:szCs w:val="16"/>
              </w:rPr>
            </w:pPr>
            <w:r>
              <w:t>تسامح مع تعاليم بلعام/نيقولاويين (عبادة الأصنام والفساد الأخلاقي)</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إن التنازل عن التعليم الخاطئ ينتشر كالفطر.</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ثياتيرا</w:t>
            </w:r>
          </w:p>
        </w:tc>
        <w:tc>
          <w:tcPr>
            <w:tcW w:w="0" w:type="auto"/>
            <w:vAlign w:val="center"/>
            <w:hideMark/>
          </w:tcPr>
          <w:p w14:paraId="7C8335DD" w14:textId="77777777" w:rsidR="00882026" w:rsidRPr="00882026" w:rsidRDefault="00882026" w:rsidP="00882026">
            <w:pPr>
              <w:rPr>
                <w:sz w:val="16"/>
                <w:szCs w:val="16"/>
              </w:rPr>
            </w:pPr>
            <w:r>
              <w:t>الحب، والخدمة، والأعمال المتنامية</w:t>
            </w:r>
          </w:p>
        </w:tc>
        <w:tc>
          <w:tcPr>
            <w:tcW w:w="0" w:type="auto"/>
            <w:vAlign w:val="center"/>
            <w:hideMark/>
          </w:tcPr>
          <w:p w14:paraId="50B64E1A" w14:textId="77777777" w:rsidR="00882026" w:rsidRPr="00882026" w:rsidRDefault="00882026" w:rsidP="00882026">
            <w:pPr>
              <w:rPr>
                <w:sz w:val="16"/>
                <w:szCs w:val="16"/>
              </w:rPr>
            </w:pPr>
            <w:r>
              <w:t>تم التسامح مع &amp;quot;إيزابل&amp;quot; (الفجور، وعبادة الأصنام، وأمور الشيطان العميقة)</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إن التسامح مع اللاأخلاقية/العقيدة يهدد الجسد كله</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ساردس</w:t>
            </w:r>
          </w:p>
        </w:tc>
        <w:tc>
          <w:tcPr>
            <w:tcW w:w="0" w:type="auto"/>
            <w:vAlign w:val="center"/>
            <w:hideMark/>
          </w:tcPr>
          <w:p w14:paraId="3759AAEE" w14:textId="77777777" w:rsidR="00882026" w:rsidRPr="00882026" w:rsidRDefault="00882026" w:rsidP="00882026">
            <w:pPr>
              <w:rPr>
                <w:sz w:val="16"/>
                <w:szCs w:val="16"/>
              </w:rPr>
            </w:pPr>
            <w:r>
              <w:t>لا تزال بعض الأسماء المخلصة قائمة</w:t>
            </w:r>
          </w:p>
        </w:tc>
        <w:tc>
          <w:tcPr>
            <w:tcW w:w="0" w:type="auto"/>
            <w:vAlign w:val="center"/>
            <w:hideMark/>
          </w:tcPr>
          <w:p w14:paraId="05FF4E65" w14:textId="77777777" w:rsidR="00882026" w:rsidRPr="00882026" w:rsidRDefault="00882026" w:rsidP="00882026">
            <w:pPr>
              <w:rPr>
                <w:sz w:val="16"/>
                <w:szCs w:val="16"/>
              </w:rPr>
            </w:pPr>
            <w:r>
              <w:t>ميت روحياً (نكروس)؛ أعمال غير مكتملة؛ يعتمد على السمعة</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المجد الماضي دون حياة حاضرة يؤدي إلى الحساب</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فيلادلفيا</w:t>
            </w:r>
          </w:p>
        </w:tc>
        <w:tc>
          <w:tcPr>
            <w:tcW w:w="0" w:type="auto"/>
            <w:vAlign w:val="center"/>
            <w:hideMark/>
          </w:tcPr>
          <w:p w14:paraId="79A18671" w14:textId="77777777" w:rsidR="00882026" w:rsidRPr="00882026" w:rsidRDefault="00882026" w:rsidP="00882026">
            <w:pPr>
              <w:rPr>
                <w:sz w:val="16"/>
                <w:szCs w:val="16"/>
              </w:rPr>
            </w:pPr>
            <w:r>
              <w:t>حافظ على كلمة المسيح رغم ضعفه</w:t>
            </w:r>
          </w:p>
        </w:tc>
        <w:tc>
          <w:tcPr>
            <w:tcW w:w="0" w:type="auto"/>
            <w:vAlign w:val="center"/>
            <w:hideMark/>
          </w:tcPr>
          <w:p w14:paraId="44AFA86B" w14:textId="77777777" w:rsidR="00882026" w:rsidRPr="00882026" w:rsidRDefault="00882026" w:rsidP="00882026">
            <w:pPr>
              <w:rPr>
                <w:sz w:val="16"/>
                <w:szCs w:val="16"/>
              </w:rPr>
            </w:pPr>
            <w:r>
              <w:t>لا أحد</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الإيمان والتوكل على الله يفتحان الأبواب</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لاودكية</w:t>
            </w:r>
          </w:p>
        </w:tc>
        <w:tc>
          <w:tcPr>
            <w:tcW w:w="0" w:type="auto"/>
            <w:vAlign w:val="center"/>
            <w:hideMark/>
          </w:tcPr>
          <w:p w14:paraId="32970A9C" w14:textId="77777777" w:rsidR="00882026" w:rsidRPr="00882026" w:rsidRDefault="00882026" w:rsidP="00882026">
            <w:pPr>
              <w:rPr>
                <w:sz w:val="16"/>
                <w:szCs w:val="16"/>
              </w:rPr>
            </w:pPr>
            <w:r>
              <w:t>لا أحد</w:t>
            </w:r>
          </w:p>
        </w:tc>
        <w:tc>
          <w:tcPr>
            <w:tcW w:w="0" w:type="auto"/>
            <w:vAlign w:val="center"/>
            <w:hideMark/>
          </w:tcPr>
          <w:p w14:paraId="677EC86E" w14:textId="77777777" w:rsidR="00882026" w:rsidRPr="00882026" w:rsidRDefault="00882026" w:rsidP="00882026">
            <w:pPr>
              <w:rPr>
                <w:sz w:val="16"/>
                <w:szCs w:val="16"/>
              </w:rPr>
            </w:pPr>
            <w:r>
              <w:t>فاتِر (كلياروس)، مكتفٍ ذاتيًا؛ مُعرَّض لخطر البصق</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الرضا عن النفس والاعتماد على الذات أمران يثيران اشمئزاز المسيح</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إجمالي</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(متوسط)</w:t>
            </w:r>
          </w:p>
        </w:tc>
        <w:tc>
          <w:tcPr>
            <w:tcW w:w="0" w:type="auto"/>
            <w:vAlign w:val="center"/>
            <w:hideMark/>
          </w:tcPr>
          <w:p w14:paraId="06C4B93C" w14:textId="77777777" w:rsidR="00882026" w:rsidRPr="00882026" w:rsidRDefault="00882026" w:rsidP="00882026">
            <w:pPr>
              <w:rPr>
                <w:sz w:val="16"/>
                <w:szCs w:val="16"/>
              </w:rPr>
            </w:pPr>
            <w:r>
              <w:t>حوالي 40%</w:t>
            </w:r>
          </w:p>
        </w:tc>
        <w:tc>
          <w:tcPr>
            <w:tcW w:w="0" w:type="auto"/>
            <w:vAlign w:val="center"/>
            <w:hideMark/>
          </w:tcPr>
          <w:p w14:paraId="4402E7EC" w14:textId="77777777" w:rsidR="00882026" w:rsidRPr="00882026" w:rsidRDefault="00882026" w:rsidP="00882026">
            <w:pPr>
              <w:rPr>
                <w:sz w:val="16"/>
                <w:szCs w:val="16"/>
              </w:rPr>
            </w:pPr>
            <w:r>
              <w:t>يحثّ السجل المختلط على التوبة (metanoēson) واليقظة</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